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8A5AC">
      <w:pPr>
        <w:adjustRightInd w:val="0"/>
        <w:snapToGrid w:val="0"/>
        <w:spacing w:line="579" w:lineRule="exact"/>
        <w:jc w:val="center"/>
        <w:rPr>
          <w:rFonts w:hint="eastAsia" w:ascii="方正小标宋_GBK" w:eastAsia="方正小标宋_GBK"/>
          <w:bCs/>
          <w:kern w:val="2"/>
          <w:sz w:val="44"/>
          <w:szCs w:val="44"/>
        </w:rPr>
      </w:pPr>
      <w:r>
        <w:rPr>
          <w:rFonts w:hint="eastAsia" w:ascii="方正小标宋_GBK" w:eastAsia="方正小标宋_GBK"/>
          <w:bCs/>
          <w:kern w:val="2"/>
          <w:sz w:val="44"/>
          <w:szCs w:val="44"/>
        </w:rPr>
        <w:t>重庆市江津区人民政府</w:t>
      </w:r>
    </w:p>
    <w:p w14:paraId="56D49CAB">
      <w:pPr>
        <w:adjustRightInd w:val="0"/>
        <w:snapToGrid w:val="0"/>
        <w:spacing w:line="579" w:lineRule="exact"/>
        <w:jc w:val="center"/>
        <w:rPr>
          <w:rFonts w:hint="eastAsia" w:ascii="方正小标宋_GBK" w:eastAsia="方正小标宋_GBK"/>
          <w:bCs/>
          <w:kern w:val="2"/>
          <w:sz w:val="44"/>
          <w:szCs w:val="44"/>
          <w:lang w:eastAsia="zh-CN"/>
        </w:rPr>
      </w:pPr>
      <w:r>
        <w:rPr>
          <w:rFonts w:hint="eastAsia" w:ascii="方正小标宋_GBK" w:eastAsia="方正小标宋_GBK"/>
          <w:bCs/>
          <w:kern w:val="2"/>
          <w:sz w:val="44"/>
          <w:szCs w:val="44"/>
        </w:rPr>
        <w:t>关于</w:t>
      </w:r>
      <w:r>
        <w:rPr>
          <w:rFonts w:hint="eastAsia" w:ascii="方正小标宋_GBK" w:eastAsia="方正小标宋_GBK"/>
          <w:bCs/>
          <w:kern w:val="2"/>
          <w:sz w:val="44"/>
          <w:szCs w:val="44"/>
          <w:lang w:val="en-US" w:eastAsia="zh-CN"/>
        </w:rPr>
        <w:t>确定</w:t>
      </w:r>
      <w:r>
        <w:rPr>
          <w:rFonts w:hint="eastAsia" w:ascii="方正小标宋_GBK" w:eastAsia="方正小标宋_GBK"/>
          <w:bCs/>
          <w:kern w:val="2"/>
          <w:sz w:val="44"/>
          <w:szCs w:val="44"/>
        </w:rPr>
        <w:t>征地补偿安置方案的公告</w:t>
      </w:r>
    </w:p>
    <w:p w14:paraId="3DFCE85E">
      <w:pPr>
        <w:adjustRightInd w:val="0"/>
        <w:snapToGrid w:val="0"/>
        <w:spacing w:line="579" w:lineRule="exact"/>
        <w:jc w:val="center"/>
        <w:rPr>
          <w:rFonts w:hint="eastAsia" w:ascii="Times New Roman" w:hAnsi="Times New Roman" w:eastAsia="方正仿宋_GBK"/>
          <w:kern w:val="2"/>
          <w:sz w:val="32"/>
          <w:szCs w:val="32"/>
        </w:rPr>
      </w:pPr>
    </w:p>
    <w:p w14:paraId="01B6237E">
      <w:pPr>
        <w:adjustRightInd w:val="0"/>
        <w:snapToGrid w:val="0"/>
        <w:spacing w:line="579" w:lineRule="exact"/>
        <w:jc w:val="center"/>
        <w:rPr>
          <w:rFonts w:hint="eastAsia" w:ascii="Times New Roman" w:hAnsi="Times New Roman" w:eastAsia="方正仿宋_GBK"/>
          <w:kern w:val="2"/>
          <w:sz w:val="32"/>
          <w:szCs w:val="32"/>
        </w:rPr>
      </w:pPr>
      <w:r>
        <w:rPr>
          <w:rFonts w:hint="eastAsia" w:ascii="Times New Roman" w:hAnsi="Times New Roman" w:eastAsia="方正仿宋_GBK"/>
          <w:kern w:val="2"/>
          <w:sz w:val="32"/>
          <w:szCs w:val="32"/>
        </w:rPr>
        <w:t>江津府征地方案</w:t>
      </w:r>
      <w:r>
        <w:rPr>
          <w:rFonts w:hint="eastAsia" w:ascii="Times New Roman" w:hAnsi="Times New Roman" w:eastAsia="方正仿宋_GBK"/>
          <w:kern w:val="2"/>
          <w:sz w:val="32"/>
          <w:szCs w:val="32"/>
          <w:lang w:val="en-US" w:eastAsia="zh-CN"/>
        </w:rPr>
        <w:t>确定</w:t>
      </w:r>
      <w:r>
        <w:rPr>
          <w:rFonts w:hint="eastAsia" w:ascii="Times New Roman" w:hAnsi="Times New Roman" w:eastAsia="方正仿宋_GBK"/>
          <w:kern w:val="2"/>
          <w:sz w:val="32"/>
          <w:szCs w:val="32"/>
        </w:rPr>
        <w:t>公告〔202</w:t>
      </w:r>
      <w:r>
        <w:rPr>
          <w:rFonts w:hint="eastAsia" w:ascii="Times New Roman" w:hAnsi="Times New Roman" w:eastAsia="方正仿宋_GBK"/>
          <w:kern w:val="2"/>
          <w:sz w:val="32"/>
          <w:szCs w:val="32"/>
          <w:lang w:val="en-US" w:eastAsia="zh-CN"/>
        </w:rPr>
        <w:t>5</w:t>
      </w:r>
      <w:r>
        <w:rPr>
          <w:rFonts w:hint="eastAsia" w:ascii="Times New Roman" w:hAnsi="Times New Roman" w:eastAsia="方正仿宋_GBK"/>
          <w:kern w:val="2"/>
          <w:sz w:val="32"/>
          <w:szCs w:val="32"/>
        </w:rPr>
        <w:t>〕</w:t>
      </w:r>
      <w:r>
        <w:rPr>
          <w:rFonts w:hint="eastAsia" w:eastAsia="方正仿宋_GBK"/>
          <w:kern w:val="2"/>
          <w:sz w:val="32"/>
          <w:szCs w:val="32"/>
          <w:lang w:val="en-US" w:eastAsia="zh-CN"/>
        </w:rPr>
        <w:t>19</w:t>
      </w:r>
      <w:r>
        <w:rPr>
          <w:rFonts w:hint="eastAsia" w:ascii="Times New Roman" w:hAnsi="Times New Roman" w:eastAsia="方正仿宋_GBK"/>
          <w:kern w:val="2"/>
          <w:sz w:val="32"/>
          <w:szCs w:val="32"/>
        </w:rPr>
        <w:t>号</w:t>
      </w:r>
    </w:p>
    <w:p w14:paraId="52508745">
      <w:pPr>
        <w:overflowPunct w:val="0"/>
        <w:adjustRightInd w:val="0"/>
        <w:snapToGrid w:val="0"/>
        <w:spacing w:line="579" w:lineRule="exact"/>
        <w:rPr>
          <w:rFonts w:ascii="Times New Roman" w:hAnsi="Times New Roman" w:eastAsia="方正仿宋_GBK" w:cs="Times New Roman"/>
          <w:bCs/>
          <w:sz w:val="32"/>
          <w:szCs w:val="32"/>
        </w:rPr>
      </w:pPr>
    </w:p>
    <w:p w14:paraId="6E89553A">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本府于202</w:t>
      </w:r>
      <w:r>
        <w:rPr>
          <w:rFonts w:hint="eastAsia" w:eastAsia="方正仿宋_GBK"/>
          <w:sz w:val="32"/>
          <w:szCs w:val="32"/>
          <w:lang w:val="en-US" w:eastAsia="zh-CN"/>
        </w:rPr>
        <w:t>5</w:t>
      </w:r>
      <w:r>
        <w:rPr>
          <w:rFonts w:ascii="Times New Roman" w:hAnsi="Times New Roman" w:eastAsia="方正仿宋_GBK"/>
          <w:sz w:val="32"/>
          <w:szCs w:val="32"/>
        </w:rPr>
        <w:t>年</w:t>
      </w:r>
      <w:r>
        <w:rPr>
          <w:rFonts w:hint="eastAsia" w:eastAsia="方正仿宋_GBK"/>
          <w:sz w:val="32"/>
          <w:szCs w:val="32"/>
          <w:lang w:val="en-US" w:eastAsia="zh-CN"/>
        </w:rPr>
        <w:t>6</w:t>
      </w:r>
      <w:r>
        <w:rPr>
          <w:rFonts w:ascii="Times New Roman" w:hAnsi="Times New Roman" w:eastAsia="方正仿宋_GBK"/>
          <w:sz w:val="32"/>
          <w:szCs w:val="32"/>
        </w:rPr>
        <w:t>月</w:t>
      </w:r>
      <w:r>
        <w:rPr>
          <w:rFonts w:hint="eastAsia" w:eastAsia="方正仿宋_GBK"/>
          <w:sz w:val="32"/>
          <w:szCs w:val="32"/>
          <w:lang w:val="en-US" w:eastAsia="zh-CN"/>
        </w:rPr>
        <w:t>28</w:t>
      </w:r>
      <w:r>
        <w:rPr>
          <w:rFonts w:ascii="Times New Roman" w:hAnsi="Times New Roman" w:eastAsia="方正仿宋_GBK"/>
          <w:sz w:val="32"/>
          <w:szCs w:val="32"/>
        </w:rPr>
        <w:t>日至202</w:t>
      </w:r>
      <w:r>
        <w:rPr>
          <w:rFonts w:hint="eastAsia" w:eastAsia="方正仿宋_GBK"/>
          <w:sz w:val="32"/>
          <w:szCs w:val="32"/>
          <w:lang w:val="en-US" w:eastAsia="zh-CN"/>
        </w:rPr>
        <w:t>5</w:t>
      </w:r>
      <w:r>
        <w:rPr>
          <w:rFonts w:ascii="Times New Roman" w:hAnsi="Times New Roman" w:eastAsia="方正仿宋_GBK"/>
          <w:sz w:val="32"/>
          <w:szCs w:val="32"/>
        </w:rPr>
        <w:t>年</w:t>
      </w:r>
      <w:r>
        <w:rPr>
          <w:rFonts w:hint="eastAsia" w:eastAsia="方正仿宋_GBK"/>
          <w:sz w:val="32"/>
          <w:szCs w:val="32"/>
          <w:lang w:val="en-US" w:eastAsia="zh-CN"/>
        </w:rPr>
        <w:t>7</w:t>
      </w:r>
      <w:r>
        <w:rPr>
          <w:rFonts w:ascii="Times New Roman" w:hAnsi="Times New Roman" w:eastAsia="方正仿宋_GBK"/>
          <w:sz w:val="32"/>
          <w:szCs w:val="32"/>
        </w:rPr>
        <w:t>月</w:t>
      </w:r>
      <w:r>
        <w:rPr>
          <w:rFonts w:hint="eastAsia" w:eastAsia="方正仿宋_GBK"/>
          <w:sz w:val="32"/>
          <w:szCs w:val="32"/>
          <w:lang w:val="en-US" w:eastAsia="zh-CN"/>
        </w:rPr>
        <w:t>28</w:t>
      </w:r>
      <w:r>
        <w:rPr>
          <w:rFonts w:ascii="Times New Roman" w:hAnsi="Times New Roman" w:eastAsia="方正仿宋_GBK"/>
          <w:sz w:val="32"/>
          <w:szCs w:val="32"/>
        </w:rPr>
        <w:t>日</w:t>
      </w:r>
      <w:r>
        <w:rPr>
          <w:rFonts w:hint="eastAsia" w:ascii="Times New Roman" w:hAnsi="Times New Roman" w:eastAsia="方正仿宋_GBK"/>
          <w:sz w:val="32"/>
          <w:szCs w:val="32"/>
        </w:rPr>
        <w:t>期间，</w:t>
      </w:r>
      <w:r>
        <w:rPr>
          <w:rFonts w:ascii="Times New Roman" w:hAnsi="Times New Roman" w:eastAsia="方正仿宋_GBK"/>
          <w:sz w:val="32"/>
          <w:szCs w:val="32"/>
        </w:rPr>
        <w:t>依法对</w:t>
      </w:r>
      <w:r>
        <w:rPr>
          <w:rFonts w:hint="eastAsia" w:ascii="Times New Roman" w:hAnsi="Times New Roman" w:eastAsia="方正仿宋_GBK" w:cs="Times New Roman"/>
          <w:sz w:val="32"/>
          <w:szCs w:val="32"/>
        </w:rPr>
        <w:t>实施</w:t>
      </w:r>
      <w:r>
        <w:rPr>
          <w:rFonts w:hint="eastAsia" w:ascii="Times New Roman" w:hAnsi="Times New Roman" w:eastAsia="方正仿宋_GBK" w:cs="Times New Roman"/>
          <w:sz w:val="32"/>
          <w:szCs w:val="32"/>
          <w:lang w:val="en-US" w:eastAsia="zh-CN"/>
        </w:rPr>
        <w:t>重庆融迈食品有限公司屠宰场迁建项目</w:t>
      </w:r>
      <w:r>
        <w:rPr>
          <w:rFonts w:ascii="Times New Roman" w:hAnsi="Times New Roman" w:eastAsia="方正仿宋_GBK"/>
          <w:sz w:val="32"/>
          <w:szCs w:val="32"/>
        </w:rPr>
        <w:t>的征地补偿安置方案进行了公告</w:t>
      </w:r>
      <w:r>
        <w:rPr>
          <w:rFonts w:hint="eastAsia" w:ascii="Times New Roman" w:hAnsi="Times New Roman" w:eastAsia="方正仿宋_GBK"/>
          <w:sz w:val="32"/>
          <w:szCs w:val="32"/>
        </w:rPr>
        <w:t>（江津府征地方案公告〔202</w:t>
      </w:r>
      <w:r>
        <w:rPr>
          <w:rFonts w:hint="eastAsia" w:eastAsia="方正仿宋_GBK"/>
          <w:sz w:val="32"/>
          <w:szCs w:val="32"/>
          <w:lang w:val="en-US" w:eastAsia="zh-CN"/>
        </w:rPr>
        <w:t>5</w:t>
      </w:r>
      <w:r>
        <w:rPr>
          <w:rFonts w:hint="eastAsia" w:ascii="Times New Roman" w:hAnsi="Times New Roman" w:eastAsia="方正仿宋_GBK"/>
          <w:sz w:val="32"/>
          <w:szCs w:val="32"/>
        </w:rPr>
        <w:t>〕</w:t>
      </w:r>
      <w:r>
        <w:rPr>
          <w:rFonts w:hint="eastAsia" w:eastAsia="方正仿宋_GBK"/>
          <w:sz w:val="32"/>
          <w:szCs w:val="32"/>
          <w:lang w:val="en-US" w:eastAsia="zh-CN"/>
        </w:rPr>
        <w:t>12</w:t>
      </w:r>
      <w:r>
        <w:rPr>
          <w:rFonts w:hint="eastAsia" w:ascii="Times New Roman" w:hAnsi="Times New Roman" w:eastAsia="方正仿宋_GBK"/>
          <w:sz w:val="32"/>
          <w:szCs w:val="32"/>
        </w:rPr>
        <w:t>号）</w:t>
      </w:r>
      <w:r>
        <w:rPr>
          <w:rFonts w:ascii="Times New Roman" w:hAnsi="Times New Roman" w:eastAsia="方正仿宋_GBK"/>
          <w:sz w:val="32"/>
          <w:szCs w:val="32"/>
        </w:rPr>
        <w:t>，现对该方案予以确定并公布。</w:t>
      </w:r>
    </w:p>
    <w:p w14:paraId="4D979762">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特此</w:t>
      </w:r>
      <w:r>
        <w:rPr>
          <w:rFonts w:hint="eastAsia" w:ascii="Times New Roman" w:hAnsi="Times New Roman" w:eastAsia="方正仿宋_GBK"/>
          <w:sz w:val="32"/>
          <w:szCs w:val="32"/>
        </w:rPr>
        <w:t>公告</w:t>
      </w:r>
    </w:p>
    <w:p w14:paraId="044A6926">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sz w:val="32"/>
          <w:szCs w:val="32"/>
        </w:rPr>
      </w:pPr>
    </w:p>
    <w:p w14:paraId="2E7FC7DA">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rPr>
        <w:t>附件：征地</w:t>
      </w:r>
      <w:r>
        <w:rPr>
          <w:rFonts w:hint="eastAsia" w:ascii="Times New Roman" w:hAnsi="Times New Roman" w:eastAsia="方正仿宋_GBK" w:cs="方正仿宋_GBK"/>
          <w:sz w:val="32"/>
          <w:szCs w:val="32"/>
        </w:rPr>
        <w:t>补偿安置方案</w:t>
      </w:r>
      <w:r>
        <w:rPr>
          <w:rFonts w:hint="eastAsia" w:eastAsia="方正仿宋_GBK" w:cs="方正仿宋_GBK"/>
          <w:sz w:val="32"/>
          <w:szCs w:val="32"/>
          <w:lang w:val="en-US" w:eastAsia="zh-CN"/>
        </w:rPr>
        <w:t xml:space="preserve"> </w:t>
      </w:r>
    </w:p>
    <w:p w14:paraId="3FC48CAA">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sz w:val="32"/>
          <w:szCs w:val="32"/>
          <w:lang w:val="en-US" w:eastAsia="zh-CN"/>
        </w:rPr>
      </w:pPr>
      <w:r>
        <w:rPr>
          <w:rFonts w:hint="eastAsia" w:eastAsia="方正仿宋_GBK"/>
          <w:sz w:val="32"/>
          <w:szCs w:val="32"/>
          <w:lang w:val="en-US" w:eastAsia="zh-CN"/>
        </w:rPr>
        <w:t xml:space="preserve"> </w:t>
      </w:r>
    </w:p>
    <w:p w14:paraId="4013AD3B">
      <w:pPr>
        <w:overflowPunct w:val="0"/>
        <w:spacing w:line="600" w:lineRule="exact"/>
        <w:ind w:firstLine="4640" w:firstLineChars="1450"/>
        <w:rPr>
          <w:rFonts w:ascii="Times New Roman" w:hAnsi="Times New Roman" w:eastAsia="方正仿宋_GBK"/>
          <w:sz w:val="32"/>
          <w:szCs w:val="32"/>
        </w:rPr>
      </w:pPr>
    </w:p>
    <w:p w14:paraId="2D74FF84">
      <w:pPr>
        <w:overflowPunct w:val="0"/>
        <w:spacing w:line="600" w:lineRule="exact"/>
        <w:ind w:firstLine="4640" w:firstLineChars="1450"/>
        <w:rPr>
          <w:rFonts w:ascii="Times New Roman" w:hAnsi="Times New Roman" w:eastAsia="方正仿宋_GBK"/>
          <w:sz w:val="32"/>
          <w:szCs w:val="32"/>
        </w:rPr>
      </w:pPr>
    </w:p>
    <w:p w14:paraId="59951D4F">
      <w:pPr>
        <w:overflowPunct w:val="0"/>
        <w:spacing w:line="600" w:lineRule="exact"/>
        <w:ind w:firstLine="4640" w:firstLineChars="1450"/>
        <w:rPr>
          <w:rFonts w:ascii="Times New Roman" w:hAnsi="Times New Roman" w:eastAsia="方正仿宋_GBK"/>
          <w:sz w:val="32"/>
          <w:szCs w:val="32"/>
        </w:rPr>
      </w:pPr>
      <w:r>
        <w:rPr>
          <w:rFonts w:hint="eastAsia" w:ascii="Times New Roman" w:hAnsi="Times New Roman" w:eastAsia="方正仿宋_GBK"/>
          <w:sz w:val="32"/>
          <w:szCs w:val="32"/>
        </w:rPr>
        <w:t>重庆市江津区人民政府</w:t>
      </w:r>
    </w:p>
    <w:p w14:paraId="4CECEA5B">
      <w:pPr>
        <w:adjustRightInd w:val="0"/>
        <w:snapToGrid w:val="0"/>
        <w:spacing w:line="560" w:lineRule="exact"/>
        <w:ind w:firstLine="4960" w:firstLineChars="1550"/>
        <w:rPr>
          <w:rFonts w:ascii="Times New Roman" w:hAnsi="Times New Roman" w:eastAsia="方正仿宋_GBK"/>
          <w:sz w:val="32"/>
          <w:szCs w:val="32"/>
        </w:rPr>
      </w:pPr>
      <w:r>
        <w:rPr>
          <w:rFonts w:hint="eastAsia" w:ascii="Times New Roman" w:hAnsi="Times New Roman" w:eastAsia="方正仿宋_GBK"/>
          <w:sz w:val="32"/>
          <w:szCs w:val="32"/>
        </w:rPr>
        <w:t>202</w:t>
      </w:r>
      <w:r>
        <w:rPr>
          <w:rFonts w:hint="eastAsia" w:eastAsia="方正仿宋_GBK"/>
          <w:sz w:val="32"/>
          <w:szCs w:val="32"/>
          <w:lang w:val="en-US" w:eastAsia="zh-CN"/>
        </w:rPr>
        <w:t>5</w:t>
      </w:r>
      <w:r>
        <w:rPr>
          <w:rFonts w:hint="eastAsia" w:ascii="Times New Roman" w:hAnsi="Times New Roman" w:eastAsia="方正仿宋_GBK"/>
          <w:sz w:val="32"/>
          <w:szCs w:val="32"/>
        </w:rPr>
        <w:t>年</w:t>
      </w:r>
      <w:r>
        <w:rPr>
          <w:rFonts w:hint="eastAsia" w:eastAsia="方正仿宋_GBK"/>
          <w:sz w:val="32"/>
          <w:szCs w:val="32"/>
          <w:lang w:val="en-US" w:eastAsia="zh-CN"/>
        </w:rPr>
        <w:t>8</w:t>
      </w:r>
      <w:r>
        <w:rPr>
          <w:rFonts w:hint="eastAsia" w:ascii="Times New Roman" w:hAnsi="Times New Roman" w:eastAsia="方正仿宋_GBK"/>
          <w:sz w:val="32"/>
          <w:szCs w:val="32"/>
        </w:rPr>
        <w:t>月</w:t>
      </w:r>
      <w:r>
        <w:rPr>
          <w:rFonts w:hint="eastAsia" w:eastAsia="方正仿宋_GBK"/>
          <w:sz w:val="32"/>
          <w:szCs w:val="32"/>
          <w:lang w:val="en-US" w:eastAsia="zh-CN"/>
        </w:rPr>
        <w:t>1</w:t>
      </w:r>
      <w:r>
        <w:rPr>
          <w:rFonts w:hint="eastAsia" w:ascii="Times New Roman" w:hAnsi="Times New Roman" w:eastAsia="方正仿宋_GBK"/>
          <w:sz w:val="32"/>
          <w:szCs w:val="32"/>
        </w:rPr>
        <w:t>日</w:t>
      </w:r>
    </w:p>
    <w:p w14:paraId="5AC4C428">
      <w:pPr>
        <w:overflowPunct w:val="0"/>
        <w:adjustRightInd w:val="0"/>
        <w:snapToGrid w:val="0"/>
        <w:spacing w:line="579" w:lineRule="exact"/>
        <w:ind w:firstLine="5760" w:firstLineChars="1800"/>
        <w:jc w:val="left"/>
        <w:rPr>
          <w:rFonts w:ascii="Times New Roman" w:hAnsi="Times New Roman" w:eastAsia="方正仿宋_GBK" w:cs="Times New Roman"/>
          <w:bCs/>
          <w:sz w:val="32"/>
          <w:szCs w:val="32"/>
        </w:rPr>
      </w:pPr>
      <w:bookmarkStart w:id="1" w:name="_GoBack"/>
      <w:bookmarkEnd w:id="1"/>
    </w:p>
    <w:p w14:paraId="4E2E2C1B">
      <w:pPr>
        <w:overflowPunct w:val="0"/>
        <w:adjustRightInd w:val="0"/>
        <w:snapToGrid w:val="0"/>
        <w:spacing w:line="579" w:lineRule="exact"/>
        <w:rPr>
          <w:rFonts w:ascii="Times New Roman" w:hAnsi="Times New Roman" w:eastAsia="方正黑体_GBK" w:cs="Times New Roman"/>
          <w:bCs/>
          <w:sz w:val="32"/>
          <w:szCs w:val="32"/>
        </w:rPr>
      </w:pPr>
      <w:r>
        <w:rPr>
          <w:rFonts w:ascii="Times New Roman" w:hAnsi="Times New Roman" w:eastAsia="方正仿宋_GBK" w:cs="Times New Roman"/>
          <w:bCs/>
          <w:sz w:val="32"/>
          <w:szCs w:val="32"/>
        </w:rPr>
        <w:br w:type="page"/>
      </w:r>
      <w:r>
        <w:rPr>
          <w:rFonts w:hint="eastAsia" w:ascii="Times New Roman" w:hAnsi="Times New Roman" w:eastAsia="方正黑体_GBK" w:cs="Times New Roman"/>
          <w:bCs/>
          <w:sz w:val="32"/>
          <w:szCs w:val="32"/>
        </w:rPr>
        <w:t>附件</w:t>
      </w:r>
    </w:p>
    <w:p w14:paraId="45BDFDF9">
      <w:pPr>
        <w:overflowPunct w:val="0"/>
        <w:adjustRightInd w:val="0"/>
        <w:snapToGrid w:val="0"/>
        <w:spacing w:line="579" w:lineRule="exact"/>
        <w:jc w:val="center"/>
        <w:rPr>
          <w:rFonts w:ascii="Times New Roman" w:hAnsi="Times New Roman" w:eastAsia="方正小标宋简体" w:cs="Times New Roman"/>
          <w:bCs/>
          <w:sz w:val="44"/>
          <w:szCs w:val="44"/>
        </w:rPr>
      </w:pPr>
      <w:r>
        <w:rPr>
          <w:rFonts w:hint="eastAsia" w:ascii="Times New Roman" w:hAnsi="Times New Roman" w:eastAsia="方正小标宋_GBK" w:cs="Times New Roman"/>
          <w:bCs/>
          <w:sz w:val="44"/>
          <w:szCs w:val="44"/>
        </w:rPr>
        <w:t>征地补偿安置方案</w:t>
      </w:r>
    </w:p>
    <w:p w14:paraId="5F3F2370">
      <w:pPr>
        <w:overflowPunct w:val="0"/>
        <w:adjustRightInd w:val="0"/>
        <w:snapToGrid w:val="0"/>
        <w:spacing w:line="579" w:lineRule="exact"/>
        <w:ind w:firstLine="640" w:firstLineChars="200"/>
        <w:jc w:val="left"/>
        <w:rPr>
          <w:rFonts w:ascii="Times New Roman" w:hAnsi="Times New Roman" w:eastAsia="方正仿宋_GBK" w:cs="Times New Roman"/>
          <w:bCs/>
          <w:sz w:val="32"/>
          <w:szCs w:val="32"/>
        </w:rPr>
      </w:pPr>
    </w:p>
    <w:p w14:paraId="7956A321">
      <w:p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为</w:t>
      </w:r>
      <w:r>
        <w:rPr>
          <w:rFonts w:hint="eastAsia" w:ascii="Times New Roman" w:hAnsi="Times New Roman" w:eastAsia="方正仿宋_GBK" w:cs="Times New Roman"/>
          <w:sz w:val="32"/>
          <w:szCs w:val="32"/>
        </w:rPr>
        <w:t>实施</w:t>
      </w:r>
      <w:r>
        <w:rPr>
          <w:rFonts w:hint="eastAsia" w:ascii="Times New Roman" w:hAnsi="Times New Roman" w:eastAsia="方正仿宋_GBK" w:cs="Times New Roman"/>
          <w:sz w:val="32"/>
          <w:szCs w:val="32"/>
          <w:lang w:val="en-US" w:eastAsia="zh-CN"/>
        </w:rPr>
        <w:t>重庆融迈食品有限公司屠宰场迁建项目</w:t>
      </w:r>
      <w:r>
        <w:rPr>
          <w:rFonts w:hint="eastAsia" w:ascii="Times New Roman" w:hAnsi="Times New Roman" w:eastAsia="方正仿宋_GBK" w:cs="Times New Roman"/>
          <w:bCs/>
          <w:sz w:val="32"/>
          <w:szCs w:val="32"/>
        </w:rPr>
        <w:t>需要，江津区人民政府拟征收</w:t>
      </w:r>
      <w:r>
        <w:rPr>
          <w:rFonts w:hint="eastAsia" w:ascii="Times New Roman" w:hAnsi="Times New Roman" w:eastAsia="方正仿宋_GBK" w:cs="Times New Roman"/>
          <w:bCs/>
          <w:sz w:val="32"/>
          <w:szCs w:val="32"/>
          <w:lang w:val="en-US" w:eastAsia="zh-CN"/>
        </w:rPr>
        <w:t>油溪</w:t>
      </w:r>
      <w:r>
        <w:rPr>
          <w:rFonts w:hint="eastAsia" w:ascii="Times New Roman" w:hAnsi="Times New Roman" w:eastAsia="方正仿宋_GBK" w:cs="Times New Roman"/>
          <w:bCs/>
          <w:sz w:val="32"/>
          <w:szCs w:val="32"/>
        </w:rPr>
        <w:t>镇</w:t>
      </w:r>
      <w:r>
        <w:rPr>
          <w:rFonts w:hint="eastAsia" w:ascii="Times New Roman" w:hAnsi="Times New Roman" w:eastAsia="方正仿宋_GBK" w:cs="Times New Roman"/>
          <w:sz w:val="32"/>
          <w:szCs w:val="32"/>
          <w:lang w:val="en-US" w:eastAsia="zh-CN"/>
        </w:rPr>
        <w:t>联合村双院子村民小组、大坡村三块碑村民小组、石羊村新屋嘴村民小组</w:t>
      </w:r>
      <w:r>
        <w:rPr>
          <w:rFonts w:hint="eastAsia" w:ascii="Times New Roman" w:hAnsi="Times New Roman" w:eastAsia="方正仿宋_GBK" w:cs="Times New Roman"/>
          <w:sz w:val="32"/>
          <w:szCs w:val="32"/>
        </w:rPr>
        <w:t>部分集体土地</w:t>
      </w:r>
      <w:r>
        <w:rPr>
          <w:rFonts w:hint="eastAsia" w:ascii="Times New Roman" w:hAnsi="Times New Roman" w:eastAsia="方正仿宋_GBK" w:cs="Times New Roman"/>
          <w:sz w:val="32"/>
          <w:szCs w:val="32"/>
          <w:lang w:val="en-US" w:eastAsia="zh-CN"/>
        </w:rPr>
        <w:t>3.6335</w:t>
      </w:r>
      <w:r>
        <w:rPr>
          <w:rFonts w:hint="eastAsia" w:ascii="Times New Roman" w:hAnsi="Times New Roman" w:eastAsia="方正仿宋_GBK" w:cs="Times New Roman"/>
          <w:sz w:val="32"/>
          <w:szCs w:val="32"/>
        </w:rPr>
        <w:t>公顷。</w:t>
      </w:r>
      <w:r>
        <w:rPr>
          <w:rFonts w:hint="eastAsia" w:ascii="Times New Roman" w:hAnsi="Times New Roman" w:eastAsia="方正仿宋_GBK" w:cs="Times New Roman"/>
          <w:bCs/>
          <w:sz w:val="32"/>
          <w:szCs w:val="32"/>
        </w:rPr>
        <w:t>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eastAsia="方正仿宋_GBK" w:cs="Times New Roman"/>
          <w:bCs/>
          <w:sz w:val="32"/>
          <w:szCs w:val="32"/>
          <w:lang w:val="en-US" w:eastAsia="zh-CN"/>
        </w:rPr>
        <w:t>确</w:t>
      </w:r>
      <w:r>
        <w:rPr>
          <w:rFonts w:hint="eastAsia" w:ascii="Times New Roman" w:hAnsi="Times New Roman" w:eastAsia="方正仿宋_GBK" w:cs="Times New Roman"/>
          <w:bCs/>
          <w:sz w:val="32"/>
          <w:szCs w:val="32"/>
        </w:rPr>
        <w:t>定征地补偿安置方案如下。</w:t>
      </w:r>
    </w:p>
    <w:p w14:paraId="535BFFC5">
      <w:pPr>
        <w:spacing w:line="579" w:lineRule="exact"/>
        <w:ind w:firstLine="627" w:firstLineChars="196"/>
        <w:rPr>
          <w:rFonts w:ascii="Times New Roman" w:hAnsi="Times New Roman" w:eastAsia="方正黑体_GBK" w:cs="Times New Roman"/>
          <w:bCs/>
          <w:kern w:val="2"/>
          <w:sz w:val="32"/>
          <w:szCs w:val="32"/>
        </w:rPr>
      </w:pPr>
      <w:r>
        <w:rPr>
          <w:rFonts w:hint="eastAsia" w:ascii="Times New Roman" w:hAnsi="Times New Roman" w:eastAsia="方正黑体_GBK" w:cs="Times New Roman"/>
          <w:bCs/>
          <w:kern w:val="2"/>
          <w:sz w:val="32"/>
          <w:szCs w:val="32"/>
        </w:rPr>
        <w:t>一、征收范围及土地现状</w:t>
      </w:r>
    </w:p>
    <w:p w14:paraId="6505DB96">
      <w:p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拟征收</w:t>
      </w:r>
      <w:r>
        <w:rPr>
          <w:rFonts w:hint="eastAsia" w:ascii="Times New Roman" w:hAnsi="Times New Roman" w:eastAsia="方正仿宋_GBK" w:cs="Times New Roman"/>
          <w:sz w:val="32"/>
          <w:szCs w:val="32"/>
          <w:lang w:val="en-US" w:eastAsia="zh-CN"/>
        </w:rPr>
        <w:t>油溪镇联合村双院子村民小组、大坡村三块碑村民小组、石羊村新屋嘴村民小组</w:t>
      </w:r>
      <w:r>
        <w:rPr>
          <w:rFonts w:hint="eastAsia" w:ascii="Times New Roman" w:hAnsi="Times New Roman" w:eastAsia="方正仿宋_GBK" w:cs="Times New Roman"/>
          <w:sz w:val="32"/>
          <w:szCs w:val="32"/>
        </w:rPr>
        <w:t>部分集体土地</w:t>
      </w:r>
      <w:r>
        <w:rPr>
          <w:rFonts w:hint="eastAsia" w:ascii="Times New Roman" w:hAnsi="Times New Roman" w:eastAsia="方正仿宋_GBK" w:cs="Times New Roman"/>
          <w:sz w:val="32"/>
          <w:szCs w:val="32"/>
          <w:lang w:val="en-US" w:eastAsia="zh-CN"/>
        </w:rPr>
        <w:t>3.6335</w:t>
      </w:r>
      <w:r>
        <w:rPr>
          <w:rFonts w:hint="eastAsia" w:ascii="Times New Roman" w:hAnsi="Times New Roman" w:eastAsia="方正仿宋_GBK" w:cs="Times New Roman"/>
          <w:sz w:val="32"/>
          <w:szCs w:val="32"/>
        </w:rPr>
        <w:t>公顷</w:t>
      </w:r>
      <w:r>
        <w:rPr>
          <w:rFonts w:hint="eastAsia" w:ascii="Times New Roman" w:hAnsi="Times New Roman" w:eastAsia="方正仿宋_GBK" w:cs="Times New Roman"/>
          <w:bCs/>
          <w:sz w:val="32"/>
          <w:szCs w:val="32"/>
        </w:rPr>
        <w:t>，具体征收范围以勘测定界图为准。</w:t>
      </w:r>
    </w:p>
    <w:p w14:paraId="62E4D742">
      <w:p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Times New Roman" w:hAnsi="Times New Roman" w:eastAsia="方正仿宋_GBK" w:cs="Times New Roman"/>
          <w:sz w:val="32"/>
          <w:szCs w:val="32"/>
        </w:rPr>
        <w:t>拟征收土地范围内有</w:t>
      </w:r>
      <w:r>
        <w:rPr>
          <w:rFonts w:hint="eastAsia" w:ascii="Times New Roman" w:hAnsi="Times New Roman" w:eastAsia="方正仿宋_GBK" w:cs="Times New Roman"/>
          <w:sz w:val="32"/>
          <w:szCs w:val="32"/>
          <w:lang w:val="en-US" w:eastAsia="zh-CN"/>
        </w:rPr>
        <w:t>2户</w:t>
      </w:r>
      <w:r>
        <w:rPr>
          <w:rFonts w:hint="eastAsia" w:ascii="Times New Roman" w:hAnsi="Times New Roman" w:eastAsia="方正仿宋_GBK" w:cs="Times New Roman"/>
          <w:sz w:val="32"/>
          <w:szCs w:val="32"/>
        </w:rPr>
        <w:t>房屋拆迁</w:t>
      </w:r>
      <w:r>
        <w:rPr>
          <w:rFonts w:hint="eastAsia" w:ascii="Times New Roman" w:hAnsi="Times New Roman" w:eastAsia="方正仿宋_GBK" w:cs="Times New Roman"/>
          <w:bCs/>
          <w:sz w:val="32"/>
          <w:szCs w:val="32"/>
        </w:rPr>
        <w:t>。</w:t>
      </w:r>
    </w:p>
    <w:p w14:paraId="575C4701">
      <w:pPr>
        <w:spacing w:line="579" w:lineRule="exact"/>
        <w:ind w:firstLine="627" w:firstLineChars="196"/>
        <w:rPr>
          <w:rFonts w:ascii="Times New Roman" w:hAnsi="Times New Roman" w:eastAsia="方正黑体_GBK" w:cs="Times New Roman"/>
          <w:bCs/>
          <w:kern w:val="2"/>
          <w:sz w:val="32"/>
          <w:szCs w:val="32"/>
        </w:rPr>
      </w:pPr>
      <w:r>
        <w:rPr>
          <w:rFonts w:ascii="Times New Roman" w:hAnsi="Times New Roman" w:eastAsia="方正黑体_GBK" w:cs="Times New Roman"/>
          <w:bCs/>
          <w:kern w:val="2"/>
          <w:sz w:val="32"/>
          <w:szCs w:val="32"/>
        </w:rPr>
        <w:t>二、征收目的</w:t>
      </w:r>
    </w:p>
    <w:p w14:paraId="01F0E257">
      <w:pPr>
        <w:overflowPunct w:val="0"/>
        <w:adjustRightInd w:val="0"/>
        <w:snapToGrid w:val="0"/>
        <w:spacing w:line="579" w:lineRule="exact"/>
        <w:ind w:firstLine="640" w:firstLineChars="200"/>
        <w:rPr>
          <w:rFonts w:ascii="Times New Roman" w:hAnsi="Times New Roman" w:eastAsia="方正仿宋_GBK" w:cs="Times New Roman"/>
          <w:bCs/>
          <w:sz w:val="32"/>
          <w:szCs w:val="32"/>
          <w:highlight w:val="lightGray"/>
        </w:rPr>
      </w:pPr>
      <w:r>
        <w:rPr>
          <w:rFonts w:hint="eastAsia" w:ascii="Times New Roman" w:hAnsi="Times New Roman" w:eastAsia="方正仿宋_GBK" w:cs="Times New Roman"/>
          <w:bCs/>
          <w:sz w:val="32"/>
          <w:szCs w:val="32"/>
        </w:rPr>
        <w:t>土地征收后，拟用于</w:t>
      </w:r>
      <w:r>
        <w:rPr>
          <w:rFonts w:hint="eastAsia" w:ascii="Times New Roman" w:hAnsi="Times New Roman" w:eastAsia="方正仿宋_GBK" w:cs="Times New Roman"/>
          <w:sz w:val="32"/>
          <w:szCs w:val="32"/>
        </w:rPr>
        <w:t>实施</w:t>
      </w:r>
      <w:r>
        <w:rPr>
          <w:rFonts w:hint="eastAsia" w:ascii="Times New Roman" w:hAnsi="Times New Roman" w:eastAsia="方正仿宋_GBK" w:cs="Times New Roman"/>
          <w:sz w:val="32"/>
          <w:szCs w:val="32"/>
          <w:lang w:val="en-US" w:eastAsia="zh-CN"/>
        </w:rPr>
        <w:t>重庆融迈食品有限公司屠宰场迁建项目</w:t>
      </w:r>
      <w:r>
        <w:rPr>
          <w:rFonts w:hint="eastAsia" w:ascii="Times New Roman" w:hAnsi="Times New Roman" w:eastAsia="方正仿宋_GBK" w:cs="Times New Roman"/>
          <w:bCs/>
          <w:sz w:val="32"/>
          <w:szCs w:val="32"/>
        </w:rPr>
        <w:t>。</w:t>
      </w:r>
    </w:p>
    <w:p w14:paraId="539D03D9">
      <w:pPr>
        <w:spacing w:line="579" w:lineRule="exact"/>
        <w:ind w:firstLine="627" w:firstLineChars="196"/>
        <w:rPr>
          <w:rFonts w:ascii="Times New Roman" w:hAnsi="Times New Roman" w:eastAsia="方正黑体_GBK" w:cs="Times New Roman"/>
          <w:bCs/>
          <w:kern w:val="2"/>
          <w:sz w:val="32"/>
          <w:szCs w:val="32"/>
        </w:rPr>
      </w:pPr>
      <w:r>
        <w:rPr>
          <w:rFonts w:ascii="Times New Roman" w:hAnsi="Times New Roman" w:eastAsia="方正黑体_GBK" w:cs="Times New Roman"/>
          <w:bCs/>
          <w:kern w:val="2"/>
          <w:sz w:val="32"/>
          <w:szCs w:val="32"/>
        </w:rPr>
        <w:t>三、补偿方式和标准</w:t>
      </w:r>
    </w:p>
    <w:p w14:paraId="1A598813">
      <w:pPr>
        <w:overflowPunct w:val="0"/>
        <w:adjustRightInd w:val="0"/>
        <w:snapToGrid w:val="0"/>
        <w:spacing w:line="579" w:lineRule="exact"/>
        <w:ind w:firstLine="640" w:firstLineChars="200"/>
        <w:rPr>
          <w:rFonts w:hint="eastAsia" w:ascii="方正仿宋_GBK" w:hAnsi="方正仿宋_GBK" w:eastAsia="方正仿宋_GBK" w:cs="方正仿宋_GBK"/>
          <w:bCs/>
          <w:kern w:val="2"/>
          <w:sz w:val="32"/>
          <w:szCs w:val="32"/>
        </w:rPr>
      </w:pPr>
      <w:r>
        <w:rPr>
          <w:rFonts w:hint="eastAsia" w:ascii="方正仿宋_GBK" w:hAnsi="方正仿宋_GBK" w:eastAsia="方正仿宋_GBK" w:cs="方正仿宋_GBK"/>
          <w:bCs/>
          <w:kern w:val="2"/>
          <w:sz w:val="32"/>
          <w:szCs w:val="32"/>
        </w:rPr>
        <w:t>（一）土地补偿费和安置补助费</w:t>
      </w:r>
    </w:p>
    <w:p w14:paraId="6521A525">
      <w:p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2520D793">
      <w:pPr>
        <w:numPr>
          <w:ilvl w:val="0"/>
          <w:numId w:val="1"/>
        </w:num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kern w:val="2"/>
          <w:sz w:val="32"/>
          <w:szCs w:val="32"/>
        </w:rPr>
        <w:t>土地补偿费。</w:t>
      </w:r>
      <w:r>
        <w:rPr>
          <w:rFonts w:hint="eastAsia" w:ascii="Times New Roman" w:hAnsi="Times New Roman" w:eastAsia="方正仿宋_GBK" w:cs="Times New Roman"/>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0E81C712">
      <w:pPr>
        <w:overflowPunct w:val="0"/>
        <w:adjustRightInd w:val="0"/>
        <w:snapToGrid w:val="0"/>
        <w:spacing w:line="579" w:lineRule="exact"/>
        <w:ind w:firstLine="640" w:firstLineChars="200"/>
        <w:rPr>
          <w:rFonts w:ascii="Times New Roman" w:hAnsi="Times New Roman" w:cs="Times New Roman"/>
        </w:rPr>
      </w:pPr>
      <w:r>
        <w:rPr>
          <w:rFonts w:hint="eastAsia" w:ascii="Times New Roman" w:hAnsi="Times New Roman" w:eastAsia="方正仿宋_GBK" w:cs="Times New Roman"/>
          <w:bCs/>
          <w:kern w:val="2"/>
          <w:sz w:val="32"/>
          <w:szCs w:val="32"/>
        </w:rPr>
        <w:t>2.</w:t>
      </w:r>
      <w:r>
        <w:rPr>
          <w:rFonts w:ascii="Times New Roman" w:hAnsi="Times New Roman" w:eastAsia="方正仿宋_GBK" w:cs="Times New Roman"/>
          <w:bCs/>
          <w:kern w:val="2"/>
          <w:sz w:val="32"/>
          <w:szCs w:val="32"/>
        </w:rPr>
        <w:t>安置补助费</w:t>
      </w:r>
      <w:r>
        <w:rPr>
          <w:rFonts w:hint="eastAsia" w:ascii="Times New Roman" w:hAnsi="Times New Roman" w:eastAsia="方正仿宋_GBK" w:cs="Times New Roman"/>
          <w:bCs/>
          <w:kern w:val="2"/>
          <w:sz w:val="32"/>
          <w:szCs w:val="32"/>
        </w:rPr>
        <w:t>。</w:t>
      </w:r>
      <w:r>
        <w:rPr>
          <w:rFonts w:hint="eastAsia" w:ascii="Times New Roman" w:hAnsi="Times New Roman" w:eastAsia="方正仿宋_GBK" w:cs="Times New Roman"/>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6FB4D7D5">
      <w:pPr>
        <w:adjustRightInd w:val="0"/>
        <w:snapToGrid w:val="0"/>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（二）农村房屋补偿费</w:t>
      </w:r>
    </w:p>
    <w:p w14:paraId="7990BDE2">
      <w:pPr>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农村房屋以不动产权属证书记载的合法建筑面积为准，按照《重庆市江津区集体土地征收补偿安置实施办法》（江津府发〔2021〕15号）制定公布的重置价格标准补偿。</w:t>
      </w:r>
    </w:p>
    <w:p w14:paraId="293A9458">
      <w:pPr>
        <w:overflowPunct w:val="0"/>
        <w:adjustRightInd w:val="0"/>
        <w:snapToGrid w:val="0"/>
        <w:spacing w:line="579" w:lineRule="exact"/>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kern w:val="2"/>
          <w:sz w:val="32"/>
          <w:szCs w:val="32"/>
        </w:rPr>
        <w:t>（三）</w:t>
      </w:r>
      <w:r>
        <w:rPr>
          <w:rFonts w:hint="eastAsia" w:ascii="方正仿宋_GBK" w:hAnsi="方正仿宋_GBK" w:eastAsia="方正仿宋_GBK" w:cs="方正仿宋_GBK"/>
          <w:bCs/>
          <w:sz w:val="32"/>
          <w:szCs w:val="32"/>
        </w:rPr>
        <w:t>其他地上附着物和青苗补偿费</w:t>
      </w:r>
    </w:p>
    <w:p w14:paraId="182C8A7D">
      <w:pPr>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37D7C6A4">
      <w:pPr>
        <w:overflowPunct w:val="0"/>
        <w:adjustRightInd w:val="0"/>
        <w:snapToGrid w:val="0"/>
        <w:spacing w:line="579" w:lineRule="exact"/>
        <w:ind w:firstLine="640" w:firstLineChars="200"/>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征收林地的林木及附着物补偿标准，按照国家和本市征收林地的有关规定执行，补偿标准低于综合定额标准的，按照综合定额标准进行补偿。</w:t>
      </w:r>
    </w:p>
    <w:p w14:paraId="69D7A411">
      <w:pPr>
        <w:spacing w:line="600" w:lineRule="exact"/>
        <w:ind w:firstLine="627" w:firstLineChars="196"/>
        <w:rPr>
          <w:rFonts w:ascii="Times New Roman" w:hAnsi="Times New Roman" w:eastAsia="方正黑体_GBK" w:cs="Times New Roman"/>
          <w:bCs/>
          <w:kern w:val="2"/>
          <w:sz w:val="32"/>
          <w:szCs w:val="32"/>
        </w:rPr>
      </w:pPr>
      <w:r>
        <w:rPr>
          <w:rFonts w:ascii="Times New Roman" w:hAnsi="Times New Roman" w:eastAsia="方正黑体_GBK" w:cs="Times New Roman"/>
          <w:bCs/>
          <w:kern w:val="2"/>
          <w:sz w:val="32"/>
          <w:szCs w:val="32"/>
        </w:rPr>
        <w:t>四、安置对象及安置方式</w:t>
      </w:r>
    </w:p>
    <w:p w14:paraId="69B540F6">
      <w:pPr>
        <w:adjustRightInd w:val="0"/>
        <w:snapToGrid w:val="0"/>
        <w:spacing w:line="56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人员安置</w:t>
      </w:r>
    </w:p>
    <w:p w14:paraId="73FBB24F">
      <w:pPr>
        <w:adjustRightInd w:val="0"/>
        <w:snapToGrid w:val="0"/>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人员安置对象范围及具体确定办法，按照《重庆市江津区集体土地征收补偿安置实施办法》（江津府发〔2021〕15号）相关规定执行。本次征地人员安置对象共</w:t>
      </w:r>
      <w:r>
        <w:rPr>
          <w:rFonts w:hint="eastAsia" w:ascii="Times New Roman" w:hAnsi="Times New Roman" w:eastAsia="方正仿宋_GBK" w:cs="Times New Roman"/>
          <w:sz w:val="32"/>
          <w:szCs w:val="32"/>
          <w:lang w:val="en-US" w:eastAsia="zh-CN"/>
        </w:rPr>
        <w:t>48</w:t>
      </w:r>
      <w:r>
        <w:rPr>
          <w:rFonts w:hint="eastAsia" w:ascii="Times New Roman" w:hAnsi="Times New Roman" w:eastAsia="方正仿宋_GBK" w:cs="Times New Roman"/>
          <w:sz w:val="32"/>
          <w:szCs w:val="32"/>
        </w:rPr>
        <w:t>人(具体安置人数以江津区人民政府核定为准)，其中：</w:t>
      </w:r>
      <w:r>
        <w:rPr>
          <w:rFonts w:hint="eastAsia" w:ascii="Times New Roman" w:hAnsi="Times New Roman" w:eastAsia="方正仿宋_GBK" w:cs="Times New Roman"/>
          <w:bCs/>
          <w:sz w:val="32"/>
          <w:szCs w:val="32"/>
          <w:lang w:val="en-US" w:eastAsia="zh-CN"/>
        </w:rPr>
        <w:t>油溪</w:t>
      </w:r>
      <w:r>
        <w:rPr>
          <w:rFonts w:hint="eastAsia" w:ascii="Times New Roman" w:hAnsi="Times New Roman" w:eastAsia="方正仿宋_GBK" w:cs="Times New Roman"/>
          <w:bCs/>
          <w:sz w:val="32"/>
          <w:szCs w:val="32"/>
        </w:rPr>
        <w:t>镇</w:t>
      </w:r>
      <w:r>
        <w:rPr>
          <w:rFonts w:hint="eastAsia" w:ascii="Times New Roman" w:hAnsi="Times New Roman" w:eastAsia="方正仿宋_GBK" w:cs="Times New Roman"/>
          <w:bCs/>
          <w:sz w:val="32"/>
          <w:szCs w:val="32"/>
          <w:lang w:val="en-US" w:eastAsia="zh-CN"/>
        </w:rPr>
        <w:t>联合村双院子社区村</w:t>
      </w:r>
      <w:r>
        <w:rPr>
          <w:rFonts w:hint="eastAsia" w:ascii="Times New Roman" w:hAnsi="Times New Roman" w:eastAsia="方正仿宋_GBK" w:cs="Times New Roman"/>
          <w:bCs/>
          <w:sz w:val="32"/>
          <w:szCs w:val="32"/>
        </w:rPr>
        <w:t>民小组</w:t>
      </w:r>
      <w:r>
        <w:rPr>
          <w:rFonts w:hint="eastAsia" w:ascii="Times New Roman" w:hAnsi="Times New Roman" w:eastAsia="方正仿宋_GBK" w:cs="Times New Roman"/>
          <w:sz w:val="32"/>
          <w:szCs w:val="32"/>
          <w:lang w:val="en-US" w:eastAsia="zh-CN"/>
        </w:rPr>
        <w:t>36</w:t>
      </w:r>
      <w:r>
        <w:rPr>
          <w:rFonts w:hint="eastAsia" w:ascii="Times New Roman" w:hAnsi="Times New Roman" w:eastAsia="方正仿宋_GBK" w:cs="Times New Roman"/>
          <w:sz w:val="32"/>
          <w:szCs w:val="32"/>
        </w:rPr>
        <w:t>人、</w:t>
      </w:r>
      <w:r>
        <w:rPr>
          <w:rFonts w:hint="eastAsia" w:ascii="Times New Roman" w:hAnsi="Times New Roman" w:eastAsia="方正仿宋_GBK" w:cs="Times New Roman"/>
          <w:sz w:val="32"/>
          <w:szCs w:val="32"/>
          <w:lang w:val="en-US" w:eastAsia="zh-CN"/>
        </w:rPr>
        <w:t>大坡村三块碑社区村</w:t>
      </w:r>
      <w:r>
        <w:rPr>
          <w:rFonts w:hint="eastAsia" w:ascii="Times New Roman" w:hAnsi="Times New Roman" w:eastAsia="方正仿宋_GBK" w:cs="Times New Roman"/>
          <w:sz w:val="32"/>
          <w:szCs w:val="32"/>
        </w:rPr>
        <w:t>民小组</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石羊村新屋嘴社区村民小组3人</w:t>
      </w:r>
      <w:r>
        <w:rPr>
          <w:rFonts w:hint="eastAsia" w:ascii="Times New Roman" w:hAnsi="Times New Roman" w:eastAsia="方正仿宋_GBK" w:cs="Times New Roman"/>
          <w:sz w:val="32"/>
          <w:szCs w:val="32"/>
        </w:rPr>
        <w:t>。由区土地房屋征收中心采取发放安置补助费的方式进行安置，每个人员安置对象的安置补助费发放标准为36000元。</w:t>
      </w:r>
    </w:p>
    <w:p w14:paraId="75C8B046">
      <w:pPr>
        <w:adjustRightInd w:val="0"/>
        <w:snapToGrid w:val="0"/>
        <w:spacing w:line="56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（二）住房安置</w:t>
      </w:r>
    </w:p>
    <w:p w14:paraId="24F2A719">
      <w:pPr>
        <w:adjustRightInd w:val="0"/>
        <w:snapToGrid w:val="0"/>
        <w:spacing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住房安置对象</w:t>
      </w:r>
      <w:r>
        <w:rPr>
          <w:rFonts w:hint="eastAsia" w:ascii="Times New Roman" w:hAnsi="Times New Roman" w:eastAsia="方正仿宋_GBK" w:cs="Times New Roman"/>
          <w:sz w:val="32"/>
          <w:szCs w:val="32"/>
        </w:rPr>
        <w:t>范围及具体确定办法，按照</w:t>
      </w:r>
      <w:r>
        <w:rPr>
          <w:rFonts w:hint="eastAsia" w:ascii="Times New Roman" w:hAnsi="Times New Roman" w:eastAsia="方正仿宋_GBK" w:cs="Times New Roman"/>
          <w:kern w:val="0"/>
          <w:sz w:val="32"/>
          <w:szCs w:val="32"/>
        </w:rPr>
        <w:t>《重庆市江津区集体土地征收补偿安置实施办法》（江津府发</w:t>
      </w:r>
      <w:r>
        <w:rPr>
          <w:rFonts w:ascii="Times New Roman" w:hAnsi="Times New Roman" w:eastAsia="方正仿宋_GBK" w:cs="Times New Roman"/>
          <w:kern w:val="0"/>
          <w:sz w:val="32"/>
          <w:szCs w:val="32"/>
        </w:rPr>
        <w:t>〔2021〕</w:t>
      </w:r>
      <w:r>
        <w:rPr>
          <w:rFonts w:hint="eastAsia" w:ascii="Times New Roman" w:hAnsi="Times New Roman" w:eastAsia="方正仿宋_GBK" w:cs="Times New Roman"/>
          <w:kern w:val="0"/>
          <w:sz w:val="32"/>
          <w:szCs w:val="32"/>
        </w:rPr>
        <w:t>15号）相关</w:t>
      </w:r>
      <w:r>
        <w:rPr>
          <w:rFonts w:hint="eastAsia" w:ascii="Times New Roman" w:hAnsi="Times New Roman" w:eastAsia="方正仿宋_GBK" w:cs="Times New Roman"/>
          <w:sz w:val="32"/>
          <w:szCs w:val="32"/>
        </w:rPr>
        <w:t>规定执行。</w:t>
      </w:r>
    </w:p>
    <w:p w14:paraId="1BD025F5">
      <w:pPr>
        <w:adjustRightInd w:val="0"/>
        <w:snapToGrid w:val="0"/>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住房安置方式：农村宅基地自建安置、</w:t>
      </w:r>
      <w:r>
        <w:rPr>
          <w:rFonts w:ascii="Times New Roman" w:hAnsi="Times New Roman" w:eastAsia="方正仿宋_GBK" w:cs="Times New Roman"/>
          <w:sz w:val="32"/>
          <w:szCs w:val="32"/>
        </w:rPr>
        <w:t>货币安置方式。</w:t>
      </w:r>
    </w:p>
    <w:p w14:paraId="0B20DFED">
      <w:pPr>
        <w:numPr>
          <w:ilvl w:val="0"/>
          <w:numId w:val="0"/>
        </w:numPr>
        <w:adjustRightInd w:val="0"/>
        <w:snapToGrid w:val="0"/>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bidi="ar-SA"/>
        </w:rPr>
        <w:t>1.</w:t>
      </w:r>
      <w:r>
        <w:rPr>
          <w:rFonts w:hint="eastAsia" w:ascii="Times New Roman" w:hAnsi="Times New Roman" w:eastAsia="方正仿宋_GBK" w:cs="Times New Roman"/>
          <w:b w:val="0"/>
          <w:bCs w:val="0"/>
          <w:sz w:val="32"/>
          <w:szCs w:val="32"/>
        </w:rPr>
        <w:t>农村宅基地自建安置</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住房安置对象选择农村宅基地自建安置的，应当符合乡（镇）土地利用总体规划、村庄规划，以及国家和本市关于宅基地建房的有关规定。农村村民宅基地标准为每人30平方米，3人以下户按3人计算，4人户按4人计算，5人以上户按5人计算。实行农村宅基地自建安置的，其被拆迁住房按照对应结构重置价格标准的50%予以自建住房补助，并按农村宅基地审批标准给予100元/平方米的新宅基地补助。</w:t>
      </w:r>
    </w:p>
    <w:p w14:paraId="48945621">
      <w:pPr>
        <w:adjustRightInd w:val="0"/>
        <w:snapToGrid w:val="0"/>
        <w:spacing w:line="560" w:lineRule="exact"/>
        <w:ind w:firstLine="643"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2.</w:t>
      </w:r>
      <w:r>
        <w:rPr>
          <w:rFonts w:hint="eastAsia" w:ascii="Times New Roman" w:hAnsi="Times New Roman" w:eastAsia="方正仿宋_GBK" w:cs="Times New Roman"/>
          <w:b w:val="0"/>
          <w:bCs w:val="0"/>
          <w:sz w:val="32"/>
          <w:szCs w:val="32"/>
          <w:lang w:val="en-US" w:eastAsia="zh-CN"/>
        </w:rPr>
        <w:t>货币安置</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住房安置对象选择货币安置的，住房安置建筑面积标准为每人30平方米；符合《重庆市江津区集体土地征收补偿安置办法》（</w:t>
      </w:r>
      <w:r>
        <w:rPr>
          <w:rFonts w:hint="eastAsia" w:ascii="Times New Roman" w:hAnsi="Times New Roman" w:eastAsia="方正仿宋_GBK" w:cs="Times New Roman"/>
          <w:kern w:val="0"/>
          <w:sz w:val="32"/>
          <w:szCs w:val="32"/>
        </w:rPr>
        <w:t>江津府发</w:t>
      </w:r>
      <w:r>
        <w:rPr>
          <w:rFonts w:ascii="Times New Roman" w:hAnsi="Times New Roman" w:eastAsia="方正仿宋_GBK" w:cs="Times New Roman"/>
          <w:kern w:val="0"/>
          <w:sz w:val="32"/>
          <w:szCs w:val="32"/>
        </w:rPr>
        <w:t>〔2021〕</w:t>
      </w:r>
      <w:r>
        <w:rPr>
          <w:rFonts w:hint="eastAsia" w:ascii="Times New Roman" w:hAnsi="Times New Roman" w:eastAsia="方正仿宋_GBK" w:cs="Times New Roman"/>
          <w:kern w:val="0"/>
          <w:sz w:val="32"/>
          <w:szCs w:val="32"/>
        </w:rPr>
        <w:t>15号</w:t>
      </w:r>
      <w:r>
        <w:rPr>
          <w:rFonts w:hint="eastAsia" w:ascii="Times New Roman" w:hAnsi="Times New Roman" w:eastAsia="方正仿宋_GBK" w:cs="Times New Roman"/>
          <w:sz w:val="32"/>
          <w:szCs w:val="32"/>
        </w:rPr>
        <w:t>）第二十三条规定的，按相应建筑面积标准予以安置。</w:t>
      </w:r>
    </w:p>
    <w:p w14:paraId="5D1849D8">
      <w:pPr>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货币安置款额等于住房货币安置价格标准乘以应安置建筑面积。</w:t>
      </w:r>
      <w:r>
        <w:rPr>
          <w:rFonts w:hint="eastAsia" w:ascii="Times New Roman" w:hAnsi="Times New Roman" w:eastAsia="方正仿宋_GBK" w:cs="Times New Roman"/>
          <w:sz w:val="32"/>
          <w:szCs w:val="32"/>
          <w:lang w:val="en-US" w:eastAsia="zh-CN"/>
        </w:rPr>
        <w:t>油溪镇</w:t>
      </w:r>
      <w:r>
        <w:rPr>
          <w:rFonts w:hint="eastAsia" w:ascii="Times New Roman" w:hAnsi="Times New Roman" w:eastAsia="方正仿宋_GBK" w:cs="Times New Roman"/>
          <w:sz w:val="32"/>
          <w:szCs w:val="32"/>
        </w:rPr>
        <w:t>按</w:t>
      </w:r>
      <w:r>
        <w:rPr>
          <w:rFonts w:hint="eastAsia" w:ascii="Times New Roman" w:hAnsi="Times New Roman" w:eastAsia="方正仿宋_GBK" w:cs="Times New Roman"/>
          <w:sz w:val="32"/>
          <w:szCs w:val="32"/>
          <w:lang w:val="en-US" w:eastAsia="zh-CN"/>
        </w:rPr>
        <w:t>3500</w:t>
      </w:r>
      <w:r>
        <w:rPr>
          <w:rFonts w:hint="eastAsia" w:ascii="Times New Roman" w:hAnsi="Times New Roman" w:eastAsia="方正仿宋_GBK" w:cs="Times New Roman"/>
          <w:sz w:val="32"/>
          <w:szCs w:val="32"/>
        </w:rPr>
        <w:t>元/平方米执行，即</w:t>
      </w:r>
      <w:r>
        <w:rPr>
          <w:rFonts w:hint="eastAsia" w:ascii="Times New Roman" w:hAnsi="Times New Roman" w:eastAsia="方正仿宋_GBK" w:cs="Times New Roman"/>
          <w:sz w:val="32"/>
          <w:szCs w:val="32"/>
          <w:lang w:val="en-US" w:eastAsia="zh-CN"/>
        </w:rPr>
        <w:t>105</w:t>
      </w:r>
      <w:r>
        <w:rPr>
          <w:rFonts w:hint="eastAsia" w:ascii="Times New Roman" w:hAnsi="Times New Roman" w:eastAsia="方正仿宋_GBK" w:cs="Times New Roman"/>
          <w:sz w:val="32"/>
          <w:szCs w:val="32"/>
        </w:rPr>
        <w:t>000元/人。</w:t>
      </w:r>
    </w:p>
    <w:p w14:paraId="6298A74E">
      <w:pPr>
        <w:adjustRightInd w:val="0"/>
        <w:snapToGrid w:val="0"/>
        <w:spacing w:line="56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 xml:space="preserve">3. </w:t>
      </w:r>
      <w:r>
        <w:rPr>
          <w:rFonts w:hint="eastAsia" w:ascii="Times New Roman" w:hAnsi="Times New Roman" w:eastAsia="方正仿宋_GBK" w:cs="Times New Roman"/>
          <w:b w:val="0"/>
          <w:bCs w:val="0"/>
          <w:sz w:val="32"/>
          <w:szCs w:val="32"/>
        </w:rPr>
        <w:t>搬迁和临时安置</w:t>
      </w:r>
      <w:r>
        <w:rPr>
          <w:rFonts w:hint="eastAsia" w:ascii="Times New Roman" w:hAnsi="Times New Roman" w:eastAsia="方正仿宋_GBK" w:cs="Times New Roman"/>
          <w:b/>
          <w:bCs/>
          <w:sz w:val="32"/>
          <w:szCs w:val="32"/>
        </w:rPr>
        <w:t>。</w:t>
      </w:r>
      <w:r>
        <w:rPr>
          <w:rFonts w:ascii="Times New Roman" w:hAnsi="Times New Roman" w:eastAsia="方正仿宋_GBK" w:cs="Times New Roman"/>
          <w:sz w:val="32"/>
          <w:szCs w:val="32"/>
        </w:rPr>
        <w:t>征地搬迁农村住房，应当支付搬迁费，用于被搬迁户搬家及生产生活设施迁移。搬迁费按户一次性计发，3人以下户（含3人）每户1500元，3人以上户每增加1人增加300元。临时安置户按搬迁两次计发。</w:t>
      </w:r>
    </w:p>
    <w:p w14:paraId="7C25F0A5">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实行农村宅基地自建安置的，按照符合宅基地申请条件的人员每人每月360元计算并一次性支付18个月的临时安置费。</w:t>
      </w:r>
    </w:p>
    <w:p w14:paraId="14C8207C">
      <w:pPr>
        <w:adjustRightInd w:val="0"/>
        <w:snapToGrid w:val="0"/>
        <w:spacing w:line="56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实行住房货币安置的，按照应安置建筑面积每平方米每月12元计算，并一次性支付12个月的临时安置费。</w:t>
      </w:r>
    </w:p>
    <w:p w14:paraId="6218E765">
      <w:pPr>
        <w:adjustRightInd w:val="0"/>
        <w:snapToGrid w:val="0"/>
        <w:spacing w:line="56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五、社会保障</w:t>
      </w:r>
    </w:p>
    <w:p w14:paraId="2420ABE5">
      <w:pPr>
        <w:adjustRightInd w:val="0"/>
        <w:snapToGrid w:val="0"/>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对符合条件的征地人员安置对象参加基本养老保险实施缴费补贴。具体如下：</w:t>
      </w:r>
    </w:p>
    <w:p w14:paraId="5B32FF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（一）补贴对象。</w:t>
      </w:r>
      <w:r>
        <w:rPr>
          <w:rFonts w:hint="eastAsia" w:ascii="Times New Roman" w:hAnsi="Times New Roman" w:eastAsia="方正仿宋_GBK" w:cs="Times New Roman"/>
          <w:sz w:val="32"/>
          <w:szCs w:val="32"/>
        </w:rPr>
        <w:t>确定的征地人员安置对象中，在征收土地公告当月年满16周岁及以上人员。</w:t>
      </w:r>
    </w:p>
    <w:p w14:paraId="498A2EB8">
      <w:pPr>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046A66C1">
      <w:pPr>
        <w:adjustRightInd w:val="0"/>
        <w:snapToGrid w:val="0"/>
        <w:spacing w:line="560" w:lineRule="exact"/>
        <w:ind w:firstLine="640" w:firstLineChars="200"/>
        <w:rPr>
          <w:rFonts w:ascii="Times New Roman" w:hAnsi="Times New Roman" w:eastAsia="方正仿宋_GBK" w:cs="Times New Roman"/>
        </w:rPr>
      </w:pPr>
      <w:r>
        <w:rPr>
          <w:rFonts w:hint="eastAsia" w:ascii="方正仿宋_GBK" w:hAnsi="方正仿宋_GBK" w:eastAsia="方正仿宋_GBK" w:cs="方正仿宋_GBK"/>
          <w:sz w:val="32"/>
          <w:szCs w:val="32"/>
        </w:rPr>
        <w:t>（二）补贴年限。</w:t>
      </w:r>
      <w:r>
        <w:rPr>
          <w:rFonts w:hint="eastAsia" w:ascii="Times New Roman" w:hAnsi="Times New Roman" w:eastAsia="方正仿宋_GBK" w:cs="Times New Roman"/>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6F77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8C591DD">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7F19E9B7">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补贴年限</w:t>
            </w:r>
          </w:p>
        </w:tc>
      </w:tr>
      <w:tr w14:paraId="689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A7E60D1">
            <w:pPr>
              <w:spacing w:line="44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男性：50周岁及其以上</w:t>
            </w:r>
          </w:p>
          <w:p w14:paraId="427DED79">
            <w:pPr>
              <w:spacing w:line="44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1B3F423D">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15年</w:t>
            </w:r>
          </w:p>
        </w:tc>
      </w:tr>
      <w:tr w14:paraId="7F03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D305636">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7DF2368">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14年</w:t>
            </w:r>
          </w:p>
        </w:tc>
      </w:tr>
      <w:tr w14:paraId="321F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5C84D5F6">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830ABC7">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13年</w:t>
            </w:r>
          </w:p>
        </w:tc>
      </w:tr>
      <w:tr w14:paraId="23AA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8DB3888">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7B30F1A">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12年</w:t>
            </w:r>
          </w:p>
        </w:tc>
      </w:tr>
      <w:tr w14:paraId="10DF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2C56D76">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7C36375">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11年</w:t>
            </w:r>
          </w:p>
        </w:tc>
      </w:tr>
      <w:tr w14:paraId="6FEA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869C729">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A697DE1">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10年</w:t>
            </w:r>
          </w:p>
        </w:tc>
      </w:tr>
      <w:tr w14:paraId="45A3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170E208">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3DD1EC9">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9年</w:t>
            </w:r>
          </w:p>
        </w:tc>
      </w:tr>
      <w:tr w14:paraId="4E44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30774C3">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1438AE7">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8年</w:t>
            </w:r>
          </w:p>
        </w:tc>
      </w:tr>
      <w:tr w14:paraId="3E4D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4AC40E9">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5BCAB31">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7年</w:t>
            </w:r>
          </w:p>
        </w:tc>
      </w:tr>
      <w:tr w14:paraId="7D0F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F8E643B">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A0EC1CF">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6年</w:t>
            </w:r>
          </w:p>
        </w:tc>
      </w:tr>
      <w:tr w14:paraId="0B07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D22DF89">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3D8464B">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5年</w:t>
            </w:r>
          </w:p>
        </w:tc>
      </w:tr>
      <w:tr w14:paraId="3CC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1CA7869">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3A067F5E">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4年</w:t>
            </w:r>
          </w:p>
        </w:tc>
      </w:tr>
      <w:tr w14:paraId="045F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6E5A1B6">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F4B4FAB">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3年</w:t>
            </w:r>
          </w:p>
        </w:tc>
      </w:tr>
      <w:tr w14:paraId="19F4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4508228">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DD0CB44">
            <w:pPr>
              <w:spacing w:line="5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2年</w:t>
            </w:r>
          </w:p>
        </w:tc>
      </w:tr>
    </w:tbl>
    <w:p w14:paraId="3D1965CE">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（三）缴费补贴标准。</w:t>
      </w:r>
      <w:r>
        <w:rPr>
          <w:rFonts w:hint="eastAsia" w:ascii="Times New Roman" w:hAnsi="Times New Roman" w:eastAsia="方正仿宋_GBK" w:cs="Times New Roman"/>
          <w:sz w:val="32"/>
          <w:szCs w:val="32"/>
        </w:rPr>
        <w:t>缴费补贴标准为5500元/人/年。</w:t>
      </w:r>
    </w:p>
    <w:p w14:paraId="0E988B71">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（四）其他事项。</w:t>
      </w:r>
      <w:r>
        <w:rPr>
          <w:rFonts w:hint="eastAsia" w:ascii="Times New Roman" w:hAnsi="Times New Roman" w:eastAsia="方正仿宋_GBK" w:cs="Times New Roman"/>
          <w:sz w:val="32"/>
          <w:szCs w:val="32"/>
        </w:rPr>
        <w:t>具体补贴办法及其他有关规定，按照《重庆市人民政府办公厅关于做好征地人员安置对象参加基本养老保险并实施缴费补贴政策有关工作的通知》（渝府办发〔2021〕96号）执行。</w:t>
      </w:r>
    </w:p>
    <w:p w14:paraId="31BE62CB">
      <w:pPr>
        <w:adjustRightInd w:val="0"/>
        <w:snapToGrid w:val="0"/>
        <w:spacing w:line="56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六、其他事项</w:t>
      </w:r>
    </w:p>
    <w:p w14:paraId="02B60D09">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（一）涉及生产经营活动搬迁的：</w:t>
      </w:r>
      <w:r>
        <w:rPr>
          <w:rFonts w:hint="eastAsia" w:ascii="Times New Roman" w:hAnsi="Times New Roman" w:eastAsia="方正仿宋_GBK" w:cs="Times New Roman"/>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14:paraId="53C75AE9">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 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71CF5CA7">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 工业企业。按所搬迁设施设备评估净值的20%计算一次性搬迁补助费；搬迁后丧失使用价值的，按照设施设备评估净值计算一次性搬迁补助费。</w:t>
      </w:r>
    </w:p>
    <w:p w14:paraId="1491C21B">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 旅游（商业、餐饮等）企业。按用于经营服务房屋合法建筑面积不高于每平方米400元计算一次性搬迁补助费。</w:t>
      </w:r>
    </w:p>
    <w:p w14:paraId="454D5499">
      <w:pPr>
        <w:pStyle w:val="10"/>
        <w:rPr>
          <w:rFonts w:hint="eastAsia" w:ascii="方正仿宋_GBK" w:hAnsi="方正仿宋_GBK" w:eastAsia="方正仿宋_GBK" w:cs="方正仿宋_GBK"/>
          <w:sz w:val="32"/>
          <w:szCs w:val="32"/>
        </w:rPr>
      </w:pPr>
      <w:r>
        <w:rPr>
          <w:rFonts w:hint="eastAsia" w:ascii="Times New Roman" w:hAnsi="Times New Roman" w:eastAsia="方正楷体_GBK" w:cs="Times New Roman"/>
          <w:sz w:val="32"/>
          <w:szCs w:val="32"/>
          <w:lang w:eastAsia="zh-CN"/>
        </w:rPr>
        <w:t>　　</w:t>
      </w:r>
      <w:r>
        <w:rPr>
          <w:rFonts w:hint="eastAsia" w:ascii="方正仿宋_GBK" w:hAnsi="方正仿宋_GBK" w:eastAsia="方正仿宋_GBK" w:cs="方正仿宋_GBK"/>
          <w:sz w:val="32"/>
          <w:szCs w:val="32"/>
        </w:rPr>
        <w:t>（二）下列设施及设备按以下标准一次性给予补偿：</w:t>
      </w:r>
    </w:p>
    <w:p w14:paraId="3D82A18A">
      <w:pPr>
        <w:overflowPunct w:val="0"/>
        <w:adjustRightInd w:val="0"/>
        <w:snapToGrid w:val="0"/>
        <w:spacing w:line="560" w:lineRule="exact"/>
        <w:ind w:firstLine="640" w:firstLineChars="200"/>
        <w:rPr>
          <w:rFonts w:hint="eastAsia" w:ascii="Times New Roman" w:hAnsi="Times New Roman" w:eastAsia="方正仿宋_GBK" w:cs="Times New Roman"/>
          <w:sz w:val="32"/>
          <w:szCs w:val="32"/>
        </w:rPr>
      </w:pPr>
      <w:r>
        <w:rPr>
          <w:rFonts w:ascii="Times New Roman" w:hAnsi="Times New Roman" w:eastAsia="方正仿宋_GBK" w:cs="Times New Roman"/>
          <w:color w:val="000000"/>
          <w:sz w:val="32"/>
          <w:szCs w:val="32"/>
        </w:rPr>
        <w:t>1.</w:t>
      </w:r>
      <w:r>
        <w:rPr>
          <w:rFonts w:hint="eastAsia" w:ascii="Times New Roman" w:hAnsi="Times New Roman" w:eastAsia="方正仿宋_GBK" w:cs="Times New Roman"/>
          <w:sz w:val="32"/>
          <w:szCs w:val="32"/>
        </w:rPr>
        <w:t>农村房屋初装水、电、气凡能提供安装时的有效发票或合同，按</w:t>
      </w:r>
      <w:bookmarkStart w:id="0" w:name="_Hlk96691131"/>
      <w:r>
        <w:rPr>
          <w:rFonts w:hint="eastAsia" w:ascii="Times New Roman" w:hAnsi="Times New Roman" w:eastAsia="方正仿宋_GBK" w:cs="Times New Roman"/>
          <w:sz w:val="32"/>
          <w:szCs w:val="32"/>
        </w:rPr>
        <w:t>发票或合同</w:t>
      </w:r>
      <w:bookmarkEnd w:id="0"/>
      <w:r>
        <w:rPr>
          <w:rFonts w:hint="eastAsia" w:ascii="Times New Roman" w:hAnsi="Times New Roman" w:eastAsia="方正仿宋_GBK" w:cs="Times New Roman"/>
          <w:sz w:val="32"/>
          <w:szCs w:val="32"/>
        </w:rPr>
        <w:t>标准进行补助。</w:t>
      </w:r>
    </w:p>
    <w:p w14:paraId="154E584A">
      <w:pPr>
        <w:overflowPunct w:val="0"/>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不能提供有效发票或合同，按以下标准一次性补助。广电宽带网闭路电视为670元/户、地面卫星接收器小片网闭路电视为380元/个、电表600元/户，50千瓦以下动力电1380元/户，50千瓦以上动力电1680元/户，水表7</w:t>
      </w:r>
      <w:r>
        <w:rPr>
          <w:rFonts w:hint="eastAsia"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rPr>
        <w:t>0元/户，天燃气</w:t>
      </w:r>
      <w:r>
        <w:rPr>
          <w:rFonts w:hint="eastAsia" w:ascii="Times New Roman" w:hAnsi="Times New Roman" w:eastAsia="方正仿宋_GBK" w:cs="Times New Roman"/>
          <w:sz w:val="32"/>
          <w:szCs w:val="32"/>
          <w:lang w:val="en-US" w:eastAsia="zh-CN"/>
        </w:rPr>
        <w:t>4350</w:t>
      </w:r>
      <w:r>
        <w:rPr>
          <w:rFonts w:hint="eastAsia" w:ascii="Times New Roman" w:hAnsi="Times New Roman" w:eastAsia="方正仿宋_GBK" w:cs="Times New Roman"/>
          <w:sz w:val="32"/>
          <w:szCs w:val="32"/>
        </w:rPr>
        <w:t>元/户，太阳能热水器800元/个，空调柜机300元/台、空调挂机200元/台。</w:t>
      </w:r>
    </w:p>
    <w:p w14:paraId="4A464B7B">
      <w:pPr>
        <w:pStyle w:val="10"/>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楷体_GBK" w:cs="Times New Roman"/>
          <w:sz w:val="32"/>
          <w:szCs w:val="32"/>
        </w:rPr>
        <w:t>（三）</w:t>
      </w:r>
      <w:r>
        <w:rPr>
          <w:rFonts w:hint="eastAsia" w:ascii="Times New Roman" w:hAnsi="Times New Roman" w:eastAsia="方正仿宋_GBK" w:cs="Times New Roman"/>
          <w:sz w:val="32"/>
          <w:szCs w:val="32"/>
        </w:rPr>
        <w:t>农村村民住宅（简易结构建筑除外）限期内搬迁的，原房补偿标准的20%给予奖励（简易结构建筑除外）</w:t>
      </w:r>
      <w:r>
        <w:rPr>
          <w:rFonts w:hint="eastAsia" w:ascii="Times New Roman" w:hAnsi="Times New Roman" w:eastAsia="方正仿宋_GBK" w:cs="Times New Roman"/>
          <w:sz w:val="32"/>
          <w:szCs w:val="32"/>
          <w:lang w:eastAsia="zh-CN"/>
        </w:rPr>
        <w:t>。</w:t>
      </w:r>
    </w:p>
    <w:p w14:paraId="55778D2A">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（四）</w:t>
      </w:r>
      <w:r>
        <w:rPr>
          <w:rFonts w:hint="eastAsia" w:ascii="Times New Roman" w:hAnsi="Times New Roman" w:eastAsia="方正仿宋_GBK" w:cs="Times New Roman"/>
          <w:sz w:val="32"/>
          <w:szCs w:val="32"/>
        </w:rPr>
        <w:t>被搬迁住房所有权人均不属于住房安置对象的、被搬迁住房所有权人合法拥有两处以上农村住房且不予住房安置的、公益、公共等设施登记为非住宅的房屋和被搬迁住房合法建筑面积扣除应安置建筑面积后剩余房屋面积四类情形，均按其被搬迁房屋对应结构重置价格标准的50%予以补助。</w:t>
      </w:r>
    </w:p>
    <w:p w14:paraId="09387EB4">
      <w:pPr>
        <w:overflowPunct w:val="0"/>
        <w:adjustRightInd w:val="0"/>
        <w:snapToGrid w:val="0"/>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楷体_GBK" w:cs="Times New Roman"/>
          <w:sz w:val="32"/>
          <w:szCs w:val="32"/>
        </w:rPr>
        <w:t>（五）</w:t>
      </w:r>
      <w:r>
        <w:rPr>
          <w:rFonts w:hint="eastAsia" w:ascii="Times New Roman" w:hAnsi="Times New Roman" w:eastAsia="方正仿宋_GBK" w:cs="Times New Roman"/>
          <w:sz w:val="32"/>
          <w:szCs w:val="32"/>
        </w:rPr>
        <w:t>房屋的装饰装修补助标准按照《重庆市江津区集体土地征收补偿安置实施办法》（江津府发〔2021〕15号）附件3相关规定执行。</w:t>
      </w:r>
    </w:p>
    <w:p w14:paraId="403677FF">
      <w:pPr>
        <w:pStyle w:val="10"/>
        <w:rPr>
          <w:rFonts w:hint="eastAsia" w:ascii="Times New Roman" w:hAnsi="Times New Roman" w:eastAsia="方正仿宋_GBK" w:cs="Times New Roman"/>
          <w:sz w:val="32"/>
          <w:szCs w:val="32"/>
          <w:lang w:eastAsia="zh-CN"/>
        </w:rPr>
      </w:pPr>
    </w:p>
    <w:p w14:paraId="529D4A82">
      <w:pPr>
        <w:pStyle w:val="10"/>
        <w:spacing w:line="560" w:lineRule="exact"/>
        <w:rPr>
          <w:rFonts w:ascii="Times New Roman" w:hAnsi="Times New Roman" w:cs="Times New Roman"/>
        </w:rPr>
      </w:pPr>
    </w:p>
    <w:p w14:paraId="50664F4C">
      <w:pPr>
        <w:pStyle w:val="10"/>
        <w:widowControl w:val="0"/>
        <w:overflowPunct w:val="0"/>
        <w:spacing w:line="56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ascii="Times New Roman" w:hAnsi="Times New Roman" w:eastAsia="方正仿宋_GBK" w:cs="Times New Roman"/>
          <w:color w:val="auto"/>
          <w:sz w:val="32"/>
          <w:szCs w:val="32"/>
        </w:rPr>
        <w:t>土地分类面积和征地安置人员情况表</w:t>
      </w:r>
    </w:p>
    <w:p w14:paraId="53FB9BE8">
      <w:pPr>
        <w:pStyle w:val="10"/>
        <w:widowControl w:val="0"/>
        <w:overflowPunct w:val="0"/>
        <w:spacing w:line="560" w:lineRule="exact"/>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2.土地补偿费和安置补助费明细表</w:t>
      </w:r>
    </w:p>
    <w:p w14:paraId="5B7D6899">
      <w:pPr>
        <w:pStyle w:val="10"/>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cols w:space="720" w:num="1"/>
          <w:docGrid w:linePitch="312" w:charSpace="0"/>
        </w:sectPr>
      </w:pPr>
    </w:p>
    <w:tbl>
      <w:tblPr>
        <w:tblStyle w:val="7"/>
        <w:tblW w:w="15338"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1268"/>
        <w:gridCol w:w="995"/>
        <w:gridCol w:w="996"/>
        <w:gridCol w:w="1445"/>
        <w:gridCol w:w="1473"/>
        <w:gridCol w:w="1391"/>
        <w:gridCol w:w="1405"/>
        <w:gridCol w:w="1500"/>
        <w:gridCol w:w="1295"/>
        <w:gridCol w:w="1241"/>
        <w:gridCol w:w="1268"/>
      </w:tblGrid>
      <w:tr w14:paraId="19EF2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338" w:type="dxa"/>
            <w:gridSpan w:val="12"/>
            <w:tcBorders>
              <w:top w:val="nil"/>
              <w:left w:val="nil"/>
              <w:bottom w:val="nil"/>
              <w:right w:val="nil"/>
            </w:tcBorders>
            <w:shd w:val="clear" w:color="auto" w:fill="auto"/>
            <w:vAlign w:val="center"/>
          </w:tcPr>
          <w:p w14:paraId="45A2BFCA">
            <w:pPr>
              <w:keepNext w:val="0"/>
              <w:keepLines w:val="0"/>
              <w:widowControl/>
              <w:suppressLineNumbers w:val="0"/>
              <w:jc w:val="left"/>
              <w:textAlignment w:val="center"/>
              <w:rPr>
                <w:rFonts w:ascii="Times New Roman" w:hAnsi="Times New Roman" w:eastAsia="方正黑体_GBK" w:cs="Times New Roman"/>
                <w:i w:val="0"/>
                <w:iCs w:val="0"/>
                <w:color w:val="000000"/>
                <w:sz w:val="24"/>
                <w:szCs w:val="24"/>
                <w:u w:val="none"/>
              </w:rPr>
            </w:pPr>
            <w:r>
              <w:rPr>
                <w:rFonts w:hint="eastAsia" w:ascii="Times New Roman" w:hAnsi="Times New Roman" w:eastAsia="方正黑体_GBK" w:cs="Times New Roman"/>
                <w:i w:val="0"/>
                <w:iCs w:val="0"/>
                <w:color w:val="000000"/>
                <w:kern w:val="0"/>
                <w:sz w:val="24"/>
                <w:szCs w:val="24"/>
                <w:u w:val="none"/>
                <w:lang w:val="en-US" w:eastAsia="zh-CN" w:bidi="ar"/>
              </w:rPr>
              <w:t>附件1</w:t>
            </w:r>
          </w:p>
        </w:tc>
      </w:tr>
      <w:tr w14:paraId="0FDE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338" w:type="dxa"/>
            <w:gridSpan w:val="12"/>
            <w:tcBorders>
              <w:top w:val="nil"/>
              <w:left w:val="nil"/>
              <w:bottom w:val="nil"/>
              <w:right w:val="nil"/>
            </w:tcBorders>
            <w:shd w:val="clear" w:color="auto" w:fill="auto"/>
            <w:vAlign w:val="center"/>
          </w:tcPr>
          <w:p w14:paraId="4D8F7721">
            <w:pPr>
              <w:keepNext w:val="0"/>
              <w:keepLines w:val="0"/>
              <w:widowControl/>
              <w:suppressLineNumbers w:val="0"/>
              <w:jc w:val="center"/>
              <w:textAlignment w:val="center"/>
              <w:rPr>
                <w:rFonts w:ascii="Times New Roman" w:hAnsi="Times New Roman" w:eastAsia="方正小标宋_GBK" w:cs="Times New Roman"/>
                <w:i w:val="0"/>
                <w:iCs w:val="0"/>
                <w:color w:val="000000"/>
                <w:sz w:val="40"/>
                <w:szCs w:val="40"/>
                <w:u w:val="none"/>
              </w:rPr>
            </w:pPr>
            <w:r>
              <w:rPr>
                <w:rFonts w:hint="eastAsia" w:ascii="Times New Roman" w:hAnsi="Times New Roman" w:eastAsia="方正小标宋_GBK" w:cs="Times New Roman"/>
                <w:i w:val="0"/>
                <w:iCs w:val="0"/>
                <w:color w:val="000000"/>
                <w:kern w:val="0"/>
                <w:sz w:val="40"/>
                <w:szCs w:val="40"/>
                <w:u w:val="none"/>
                <w:lang w:val="en-US" w:eastAsia="zh-CN" w:bidi="ar"/>
              </w:rPr>
              <w:t>土地分类面积和征地安置人员情况表</w:t>
            </w:r>
          </w:p>
        </w:tc>
      </w:tr>
      <w:tr w14:paraId="37B4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38" w:type="dxa"/>
            <w:gridSpan w:val="12"/>
            <w:tcBorders>
              <w:top w:val="nil"/>
              <w:left w:val="nil"/>
              <w:bottom w:val="single" w:color="000000" w:sz="4" w:space="0"/>
              <w:right w:val="nil"/>
            </w:tcBorders>
            <w:shd w:val="clear" w:color="auto" w:fill="auto"/>
            <w:vAlign w:val="center"/>
          </w:tcPr>
          <w:p w14:paraId="0DF46CC4">
            <w:pPr>
              <w:keepNext w:val="0"/>
              <w:keepLines w:val="0"/>
              <w:widowControl/>
              <w:suppressLineNumbers w:val="0"/>
              <w:jc w:val="right"/>
              <w:textAlignment w:val="center"/>
              <w:rPr>
                <w:rFonts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单位：亩、人</w:t>
            </w:r>
          </w:p>
        </w:tc>
      </w:tr>
      <w:tr w14:paraId="691E4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4"/>
            <w:vMerge w:val="restart"/>
            <w:tcBorders>
              <w:top w:val="nil"/>
              <w:left w:val="single" w:color="000000" w:sz="4" w:space="0"/>
              <w:bottom w:val="nil"/>
              <w:right w:val="nil"/>
            </w:tcBorders>
            <w:shd w:val="clear" w:color="auto" w:fill="auto"/>
            <w:vAlign w:val="center"/>
          </w:tcPr>
          <w:p w14:paraId="275E9FB7">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权  属  单  位</w:t>
            </w:r>
          </w:p>
        </w:tc>
        <w:tc>
          <w:tcPr>
            <w:tcW w:w="1445" w:type="dxa"/>
            <w:vMerge w:val="restart"/>
            <w:tcBorders>
              <w:top w:val="nil"/>
              <w:left w:val="single" w:color="000000" w:sz="4" w:space="0"/>
              <w:bottom w:val="nil"/>
              <w:right w:val="single" w:color="000000" w:sz="4" w:space="0"/>
            </w:tcBorders>
            <w:shd w:val="clear" w:color="auto" w:fill="auto"/>
            <w:vAlign w:val="center"/>
          </w:tcPr>
          <w:p w14:paraId="5B49DBB8">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本次征地前总面积</w:t>
            </w:r>
          </w:p>
        </w:tc>
        <w:tc>
          <w:tcPr>
            <w:tcW w:w="1473" w:type="dxa"/>
            <w:vMerge w:val="restart"/>
            <w:tcBorders>
              <w:top w:val="nil"/>
              <w:left w:val="single" w:color="000000" w:sz="4" w:space="0"/>
              <w:bottom w:val="nil"/>
              <w:right w:val="single" w:color="000000" w:sz="4" w:space="0"/>
            </w:tcBorders>
            <w:shd w:val="clear" w:color="auto" w:fill="auto"/>
            <w:vAlign w:val="center"/>
          </w:tcPr>
          <w:p w14:paraId="2370F392">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本次征地前耕地面积</w:t>
            </w:r>
          </w:p>
        </w:tc>
        <w:tc>
          <w:tcPr>
            <w:tcW w:w="6832" w:type="dxa"/>
            <w:gridSpan w:val="5"/>
            <w:tcBorders>
              <w:top w:val="nil"/>
              <w:left w:val="single" w:color="000000" w:sz="4" w:space="0"/>
              <w:bottom w:val="single" w:color="000000" w:sz="4" w:space="0"/>
              <w:right w:val="nil"/>
            </w:tcBorders>
            <w:shd w:val="clear" w:color="auto" w:fill="auto"/>
            <w:vAlign w:val="center"/>
          </w:tcPr>
          <w:p w14:paraId="0F697EF6">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本次征地分类面积</w:t>
            </w:r>
          </w:p>
        </w:tc>
        <w:tc>
          <w:tcPr>
            <w:tcW w:w="1268" w:type="dxa"/>
            <w:vMerge w:val="restart"/>
            <w:tcBorders>
              <w:top w:val="nil"/>
              <w:left w:val="single" w:color="000000" w:sz="4" w:space="0"/>
              <w:bottom w:val="nil"/>
              <w:right w:val="single" w:color="000000" w:sz="4" w:space="0"/>
            </w:tcBorders>
            <w:shd w:val="clear" w:color="auto" w:fill="auto"/>
            <w:vAlign w:val="center"/>
          </w:tcPr>
          <w:p w14:paraId="0847E64E">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人员安置         对象人数</w:t>
            </w:r>
          </w:p>
        </w:tc>
      </w:tr>
      <w:tr w14:paraId="77CC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4"/>
            <w:vMerge w:val="continue"/>
            <w:tcBorders>
              <w:top w:val="nil"/>
              <w:left w:val="single" w:color="000000" w:sz="4" w:space="0"/>
              <w:bottom w:val="nil"/>
              <w:right w:val="nil"/>
            </w:tcBorders>
            <w:shd w:val="clear" w:color="auto" w:fill="auto"/>
            <w:vAlign w:val="center"/>
          </w:tcPr>
          <w:p w14:paraId="0E9DF0FC">
            <w:pPr>
              <w:jc w:val="center"/>
              <w:rPr>
                <w:rFonts w:hint="eastAsia" w:ascii="Times New Roman" w:hAnsi="Times New Roman" w:eastAsia="方正仿宋_GBK" w:cs="Times New Roman"/>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4EC670FA">
            <w:pPr>
              <w:jc w:val="center"/>
              <w:rPr>
                <w:rFonts w:hint="eastAsia" w:ascii="Times New Roman" w:hAnsi="Times New Roman" w:eastAsia="方正仿宋_GBK" w:cs="Times New Roman"/>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2E818849">
            <w:pPr>
              <w:jc w:val="center"/>
              <w:rPr>
                <w:rFonts w:hint="eastAsia" w:ascii="Times New Roman" w:hAnsi="Times New Roman" w:eastAsia="方正仿宋_GBK" w:cs="Times New Roman"/>
                <w:b/>
                <w:bCs/>
                <w:i w:val="0"/>
                <w:iCs w:val="0"/>
                <w:color w:val="000000"/>
                <w:sz w:val="24"/>
                <w:szCs w:val="24"/>
                <w:u w:val="none"/>
              </w:rPr>
            </w:pPr>
          </w:p>
        </w:tc>
        <w:tc>
          <w:tcPr>
            <w:tcW w:w="1391" w:type="dxa"/>
            <w:vMerge w:val="restart"/>
            <w:tcBorders>
              <w:top w:val="single" w:color="000000" w:sz="4" w:space="0"/>
              <w:left w:val="single" w:color="000000" w:sz="4" w:space="0"/>
              <w:bottom w:val="nil"/>
              <w:right w:val="single" w:color="000000" w:sz="4" w:space="0"/>
            </w:tcBorders>
            <w:shd w:val="clear" w:color="auto" w:fill="auto"/>
            <w:vAlign w:val="center"/>
          </w:tcPr>
          <w:p w14:paraId="0916617B">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总面积</w:t>
            </w:r>
          </w:p>
        </w:tc>
        <w:tc>
          <w:tcPr>
            <w:tcW w:w="5441" w:type="dxa"/>
            <w:gridSpan w:val="4"/>
            <w:tcBorders>
              <w:top w:val="single" w:color="000000" w:sz="4" w:space="0"/>
              <w:left w:val="nil"/>
              <w:bottom w:val="single" w:color="000000" w:sz="4" w:space="0"/>
              <w:right w:val="single" w:color="000000" w:sz="4" w:space="0"/>
            </w:tcBorders>
            <w:shd w:val="clear" w:color="auto" w:fill="auto"/>
            <w:vAlign w:val="center"/>
          </w:tcPr>
          <w:p w14:paraId="556DC93D">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其  中</w:t>
            </w:r>
          </w:p>
        </w:tc>
        <w:tc>
          <w:tcPr>
            <w:tcW w:w="1268" w:type="dxa"/>
            <w:vMerge w:val="continue"/>
            <w:tcBorders>
              <w:top w:val="nil"/>
              <w:left w:val="single" w:color="000000" w:sz="4" w:space="0"/>
              <w:bottom w:val="nil"/>
              <w:right w:val="single" w:color="000000" w:sz="4" w:space="0"/>
            </w:tcBorders>
            <w:shd w:val="clear" w:color="auto" w:fill="auto"/>
            <w:vAlign w:val="center"/>
          </w:tcPr>
          <w:p w14:paraId="25E26E9C">
            <w:pPr>
              <w:jc w:val="center"/>
              <w:rPr>
                <w:rFonts w:hint="eastAsia" w:ascii="Times New Roman" w:hAnsi="Times New Roman" w:eastAsia="方正仿宋_GBK" w:cs="Times New Roman"/>
                <w:b/>
                <w:bCs/>
                <w:i w:val="0"/>
                <w:iCs w:val="0"/>
                <w:color w:val="000000"/>
                <w:sz w:val="24"/>
                <w:szCs w:val="24"/>
                <w:u w:val="none"/>
              </w:rPr>
            </w:pPr>
          </w:p>
        </w:tc>
      </w:tr>
      <w:tr w14:paraId="74E90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4"/>
            <w:vMerge w:val="continue"/>
            <w:tcBorders>
              <w:top w:val="nil"/>
              <w:left w:val="single" w:color="000000" w:sz="4" w:space="0"/>
              <w:bottom w:val="nil"/>
              <w:right w:val="nil"/>
            </w:tcBorders>
            <w:shd w:val="clear" w:color="auto" w:fill="auto"/>
            <w:vAlign w:val="center"/>
          </w:tcPr>
          <w:p w14:paraId="377A7C20">
            <w:pPr>
              <w:jc w:val="center"/>
              <w:rPr>
                <w:rFonts w:hint="eastAsia" w:ascii="Times New Roman" w:hAnsi="Times New Roman" w:eastAsia="方正仿宋_GBK" w:cs="Times New Roman"/>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3CE74462">
            <w:pPr>
              <w:jc w:val="center"/>
              <w:rPr>
                <w:rFonts w:hint="eastAsia" w:ascii="Times New Roman" w:hAnsi="Times New Roman" w:eastAsia="方正仿宋_GBK" w:cs="Times New Roman"/>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40C9CDBD">
            <w:pPr>
              <w:jc w:val="center"/>
              <w:rPr>
                <w:rFonts w:hint="eastAsia" w:ascii="Times New Roman" w:hAnsi="Times New Roman" w:eastAsia="方正仿宋_GBK" w:cs="Times New Roman"/>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2CD5DEFC">
            <w:pPr>
              <w:jc w:val="center"/>
              <w:rPr>
                <w:rFonts w:hint="eastAsia" w:ascii="Times New Roman" w:hAnsi="Times New Roman" w:eastAsia="方正仿宋_GBK" w:cs="Times New Roman"/>
                <w:b/>
                <w:bCs/>
                <w:i w:val="0"/>
                <w:iCs w:val="0"/>
                <w:color w:val="000000"/>
                <w:sz w:val="24"/>
                <w:szCs w:val="24"/>
                <w:u w:val="none"/>
              </w:rPr>
            </w:pPr>
          </w:p>
        </w:tc>
        <w:tc>
          <w:tcPr>
            <w:tcW w:w="2905" w:type="dxa"/>
            <w:gridSpan w:val="2"/>
            <w:tcBorders>
              <w:top w:val="nil"/>
              <w:left w:val="nil"/>
              <w:bottom w:val="nil"/>
              <w:right w:val="nil"/>
            </w:tcBorders>
            <w:shd w:val="clear" w:color="auto" w:fill="auto"/>
            <w:vAlign w:val="center"/>
          </w:tcPr>
          <w:p w14:paraId="7732BEE6">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农用地</w:t>
            </w:r>
          </w:p>
        </w:tc>
        <w:tc>
          <w:tcPr>
            <w:tcW w:w="1295" w:type="dxa"/>
            <w:vMerge w:val="restart"/>
            <w:tcBorders>
              <w:top w:val="single" w:color="000000" w:sz="4" w:space="0"/>
              <w:left w:val="single" w:color="000000" w:sz="4" w:space="0"/>
              <w:bottom w:val="nil"/>
              <w:right w:val="single" w:color="000000" w:sz="4" w:space="0"/>
            </w:tcBorders>
            <w:shd w:val="clear" w:color="auto" w:fill="auto"/>
            <w:vAlign w:val="center"/>
          </w:tcPr>
          <w:p w14:paraId="1EFA7D29">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建设用地</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6C9F668C">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未利用地</w:t>
            </w:r>
          </w:p>
        </w:tc>
        <w:tc>
          <w:tcPr>
            <w:tcW w:w="1268" w:type="dxa"/>
            <w:vMerge w:val="continue"/>
            <w:tcBorders>
              <w:top w:val="nil"/>
              <w:left w:val="single" w:color="000000" w:sz="4" w:space="0"/>
              <w:bottom w:val="nil"/>
              <w:right w:val="single" w:color="000000" w:sz="4" w:space="0"/>
            </w:tcBorders>
            <w:shd w:val="clear" w:color="auto" w:fill="auto"/>
            <w:vAlign w:val="center"/>
          </w:tcPr>
          <w:p w14:paraId="08DD44F2">
            <w:pPr>
              <w:jc w:val="center"/>
              <w:rPr>
                <w:rFonts w:hint="eastAsia" w:ascii="Times New Roman" w:hAnsi="Times New Roman" w:eastAsia="方正仿宋_GBK" w:cs="Times New Roman"/>
                <w:b/>
                <w:bCs/>
                <w:i w:val="0"/>
                <w:iCs w:val="0"/>
                <w:color w:val="000000"/>
                <w:sz w:val="24"/>
                <w:szCs w:val="24"/>
                <w:u w:val="none"/>
              </w:rPr>
            </w:pPr>
          </w:p>
        </w:tc>
      </w:tr>
      <w:tr w14:paraId="2C8C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4"/>
            <w:vMerge w:val="continue"/>
            <w:tcBorders>
              <w:top w:val="nil"/>
              <w:left w:val="single" w:color="000000" w:sz="4" w:space="0"/>
              <w:bottom w:val="nil"/>
              <w:right w:val="nil"/>
            </w:tcBorders>
            <w:shd w:val="clear" w:color="auto" w:fill="auto"/>
            <w:vAlign w:val="center"/>
          </w:tcPr>
          <w:p w14:paraId="686F6D81">
            <w:pPr>
              <w:jc w:val="center"/>
              <w:rPr>
                <w:rFonts w:hint="eastAsia" w:ascii="Times New Roman" w:hAnsi="Times New Roman" w:eastAsia="方正仿宋_GBK" w:cs="Times New Roman"/>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2AFD0600">
            <w:pPr>
              <w:jc w:val="center"/>
              <w:rPr>
                <w:rFonts w:hint="eastAsia" w:ascii="Times New Roman" w:hAnsi="Times New Roman" w:eastAsia="方正仿宋_GBK" w:cs="Times New Roman"/>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61B90D1A">
            <w:pPr>
              <w:jc w:val="center"/>
              <w:rPr>
                <w:rFonts w:hint="eastAsia" w:ascii="Times New Roman" w:hAnsi="Times New Roman" w:eastAsia="方正仿宋_GBK" w:cs="Times New Roman"/>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6C83F4E5">
            <w:pPr>
              <w:jc w:val="center"/>
              <w:rPr>
                <w:rFonts w:hint="eastAsia" w:ascii="Times New Roman" w:hAnsi="Times New Roman" w:eastAsia="方正仿宋_GBK" w:cs="Times New Roman"/>
                <w:b/>
                <w:bCs/>
                <w:i w:val="0"/>
                <w:iCs w:val="0"/>
                <w:color w:val="000000"/>
                <w:sz w:val="24"/>
                <w:szCs w:val="24"/>
                <w:u w:val="none"/>
              </w:rPr>
            </w:pPr>
          </w:p>
        </w:tc>
        <w:tc>
          <w:tcPr>
            <w:tcW w:w="1405" w:type="dxa"/>
            <w:tcBorders>
              <w:top w:val="nil"/>
              <w:left w:val="nil"/>
              <w:bottom w:val="nil"/>
              <w:right w:val="single" w:color="000000" w:sz="4" w:space="0"/>
            </w:tcBorders>
            <w:shd w:val="clear" w:color="auto" w:fill="auto"/>
            <w:vAlign w:val="center"/>
          </w:tcPr>
          <w:p w14:paraId="06C38350">
            <w:pPr>
              <w:jc w:val="center"/>
              <w:rPr>
                <w:rFonts w:hint="eastAsia" w:ascii="Times New Roman" w:hAnsi="Times New Roman" w:eastAsia="方正仿宋_GBK" w:cs="Times New Roman"/>
                <w:b/>
                <w:bCs/>
                <w:i w:val="0"/>
                <w:iCs w:val="0"/>
                <w:color w:val="FF0000"/>
                <w:sz w:val="24"/>
                <w:szCs w:val="24"/>
                <w:u w:val="none"/>
              </w:rPr>
            </w:pPr>
          </w:p>
        </w:tc>
        <w:tc>
          <w:tcPr>
            <w:tcW w:w="1500" w:type="dxa"/>
            <w:tcBorders>
              <w:top w:val="single" w:color="000000" w:sz="4" w:space="0"/>
              <w:left w:val="single" w:color="000000" w:sz="4" w:space="0"/>
              <w:bottom w:val="nil"/>
              <w:right w:val="single" w:color="000000" w:sz="4" w:space="0"/>
            </w:tcBorders>
            <w:shd w:val="clear" w:color="auto" w:fill="auto"/>
            <w:vAlign w:val="center"/>
          </w:tcPr>
          <w:p w14:paraId="3F32B737">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其中： 耕地</w:t>
            </w: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14:paraId="2610D9D4">
            <w:pPr>
              <w:jc w:val="center"/>
              <w:rPr>
                <w:rFonts w:hint="eastAsia" w:ascii="Times New Roman" w:hAnsi="Times New Roman" w:eastAsia="方正仿宋_GBK" w:cs="Times New Roman"/>
                <w:b/>
                <w:bCs/>
                <w:i w:val="0"/>
                <w:iCs w:val="0"/>
                <w:color w:val="000000"/>
                <w:sz w:val="24"/>
                <w:szCs w:val="24"/>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798B1B9D">
            <w:pPr>
              <w:jc w:val="center"/>
              <w:rPr>
                <w:rFonts w:hint="eastAsia" w:ascii="Times New Roman" w:hAnsi="Times New Roman" w:eastAsia="方正仿宋_GBK" w:cs="Times New Roman"/>
                <w:b/>
                <w:bCs/>
                <w:i w:val="0"/>
                <w:iCs w:val="0"/>
                <w:color w:val="000000"/>
                <w:sz w:val="24"/>
                <w:szCs w:val="24"/>
                <w:u w:val="none"/>
              </w:rPr>
            </w:pPr>
          </w:p>
        </w:tc>
        <w:tc>
          <w:tcPr>
            <w:tcW w:w="1268" w:type="dxa"/>
            <w:vMerge w:val="continue"/>
            <w:tcBorders>
              <w:top w:val="nil"/>
              <w:left w:val="single" w:color="000000" w:sz="4" w:space="0"/>
              <w:bottom w:val="nil"/>
              <w:right w:val="single" w:color="000000" w:sz="4" w:space="0"/>
            </w:tcBorders>
            <w:shd w:val="clear" w:color="auto" w:fill="auto"/>
            <w:vAlign w:val="center"/>
          </w:tcPr>
          <w:p w14:paraId="7D4D3E72">
            <w:pPr>
              <w:jc w:val="center"/>
              <w:rPr>
                <w:rFonts w:hint="eastAsia" w:ascii="Times New Roman" w:hAnsi="Times New Roman" w:eastAsia="方正仿宋_GBK" w:cs="Times New Roman"/>
                <w:b/>
                <w:bCs/>
                <w:i w:val="0"/>
                <w:iCs w:val="0"/>
                <w:color w:val="000000"/>
                <w:sz w:val="24"/>
                <w:szCs w:val="24"/>
                <w:u w:val="none"/>
              </w:rPr>
            </w:pPr>
          </w:p>
        </w:tc>
      </w:tr>
      <w:tr w14:paraId="7D17A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61" w:type="dxa"/>
            <w:vMerge w:val="restart"/>
            <w:tcBorders>
              <w:top w:val="single" w:color="000000" w:sz="4" w:space="0"/>
              <w:left w:val="single" w:color="000000" w:sz="4" w:space="0"/>
              <w:bottom w:val="nil"/>
              <w:right w:val="single" w:color="000000" w:sz="4" w:space="0"/>
            </w:tcBorders>
            <w:shd w:val="clear" w:color="auto" w:fill="auto"/>
            <w:noWrap/>
            <w:vAlign w:val="center"/>
          </w:tcPr>
          <w:p w14:paraId="31EEE152">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油溪镇</w:t>
            </w:r>
          </w:p>
        </w:tc>
        <w:tc>
          <w:tcPr>
            <w:tcW w:w="1268" w:type="dxa"/>
            <w:tcBorders>
              <w:top w:val="single" w:color="000000" w:sz="4" w:space="0"/>
              <w:left w:val="single" w:color="000000" w:sz="4" w:space="0"/>
              <w:bottom w:val="nil"/>
              <w:right w:val="single" w:color="000000" w:sz="4" w:space="0"/>
            </w:tcBorders>
            <w:shd w:val="clear" w:color="auto" w:fill="auto"/>
            <w:vAlign w:val="center"/>
          </w:tcPr>
          <w:p w14:paraId="3B888C35">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联合村</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9F43">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双原子社</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1CD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原双院子</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CC9C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615.74</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9A01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375.13</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7B68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38.8155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B39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38.196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41A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36.6735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3C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0.6195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24A8">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389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36</w:t>
            </w:r>
          </w:p>
        </w:tc>
      </w:tr>
      <w:tr w14:paraId="6387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61" w:type="dxa"/>
            <w:vMerge w:val="continue"/>
            <w:tcBorders>
              <w:left w:val="single" w:color="000000" w:sz="4" w:space="0"/>
              <w:right w:val="single" w:color="000000" w:sz="4" w:space="0"/>
            </w:tcBorders>
            <w:shd w:val="clear" w:color="auto" w:fill="auto"/>
            <w:noWrap/>
            <w:vAlign w:val="center"/>
          </w:tcPr>
          <w:p w14:paraId="36E32689">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p>
        </w:tc>
        <w:tc>
          <w:tcPr>
            <w:tcW w:w="1268" w:type="dxa"/>
            <w:tcBorders>
              <w:top w:val="single" w:color="000000" w:sz="4" w:space="0"/>
              <w:left w:val="single" w:color="000000" w:sz="4" w:space="0"/>
              <w:bottom w:val="nil"/>
              <w:right w:val="single" w:color="000000" w:sz="4" w:space="0"/>
            </w:tcBorders>
            <w:shd w:val="clear" w:color="auto" w:fill="auto"/>
            <w:vAlign w:val="center"/>
          </w:tcPr>
          <w:p w14:paraId="065CBC1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大坡村</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824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三块碑社</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EE7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原和家村凉水井</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C252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1026.8</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21C9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640.2</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B80D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11.6145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06C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11.516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3A1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11.5155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C2A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0.099</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0A0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F6E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9</w:t>
            </w:r>
          </w:p>
        </w:tc>
      </w:tr>
      <w:tr w14:paraId="3E23A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6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CCAB6E1">
            <w:pPr>
              <w:jc w:val="center"/>
              <w:rPr>
                <w:rFonts w:hint="eastAsia" w:ascii="Times New Roman" w:hAnsi="Times New Roman" w:eastAsia="方正仿宋_GBK" w:cs="Times New Roman"/>
                <w:i w:val="0"/>
                <w:iCs w:val="0"/>
                <w:color w:val="000000"/>
                <w:sz w:val="24"/>
                <w:szCs w:val="24"/>
                <w:u w:val="none"/>
              </w:rPr>
            </w:pPr>
          </w:p>
        </w:tc>
        <w:tc>
          <w:tcPr>
            <w:tcW w:w="1268" w:type="dxa"/>
            <w:tcBorders>
              <w:top w:val="single" w:color="000000" w:sz="4" w:space="0"/>
              <w:left w:val="single" w:color="000000" w:sz="4" w:space="0"/>
              <w:bottom w:val="nil"/>
              <w:right w:val="single" w:color="000000" w:sz="4" w:space="0"/>
            </w:tcBorders>
            <w:shd w:val="clear" w:color="auto" w:fill="auto"/>
            <w:vAlign w:val="center"/>
          </w:tcPr>
          <w:p w14:paraId="60F61B07">
            <w:pPr>
              <w:jc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石羊村</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D72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rPr>
            </w:pPr>
            <w:r>
              <w:rPr>
                <w:rFonts w:hint="eastAsia" w:ascii="Times New Roman" w:hAnsi="Times New Roman" w:eastAsia="方正仿宋_GBK" w:cs="Times New Roman"/>
                <w:i w:val="0"/>
                <w:iCs w:val="0"/>
                <w:color w:val="000000"/>
                <w:kern w:val="0"/>
                <w:sz w:val="24"/>
                <w:szCs w:val="24"/>
                <w:u w:val="none"/>
                <w:lang w:val="en-US" w:eastAsia="zh-CN" w:bidi="ar"/>
              </w:rPr>
              <w:t>新屋嘴社</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F76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原新屋嘴</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6B8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663.24</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326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410.48</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EB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4.0725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DFA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4.0725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EA8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4.0725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6FC0">
            <w:pPr>
              <w:jc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CDD0">
            <w:pPr>
              <w:jc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BBF4">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w:t>
            </w:r>
          </w:p>
        </w:tc>
      </w:tr>
      <w:tr w14:paraId="3A2A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07AA46">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合     计</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B597">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9680">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20B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54.5025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AE8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53.784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A5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52.2615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82E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0.7185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6E4F">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292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48</w:t>
            </w:r>
          </w:p>
        </w:tc>
      </w:tr>
    </w:tbl>
    <w:p w14:paraId="670937CB">
      <w:pPr>
        <w:pStyle w:val="2"/>
        <w:ind w:firstLine="280"/>
        <w:rPr>
          <w:rFonts w:ascii="Times New Roman" w:hAnsi="Times New Roman" w:cs="Times New Roman"/>
          <w:b w:val="0"/>
          <w:bCs w:val="0"/>
          <w:lang w:eastAsia="zh-CN"/>
        </w:rPr>
        <w:sectPr>
          <w:footerReference r:id="rId4" w:type="default"/>
          <w:pgSz w:w="16838" w:h="11900" w:orient="landscape"/>
          <w:pgMar w:top="1134" w:right="1134" w:bottom="1134" w:left="1134" w:header="851" w:footer="737" w:gutter="0"/>
          <w:cols w:space="720" w:num="1"/>
          <w:docGrid w:linePitch="315" w:charSpace="0"/>
        </w:sectPr>
      </w:pPr>
    </w:p>
    <w:tbl>
      <w:tblPr>
        <w:tblStyle w:val="7"/>
        <w:tblW w:w="15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3"/>
        <w:gridCol w:w="1731"/>
        <w:gridCol w:w="1173"/>
        <w:gridCol w:w="1050"/>
        <w:gridCol w:w="1171"/>
        <w:gridCol w:w="1175"/>
        <w:gridCol w:w="1131"/>
        <w:gridCol w:w="1219"/>
        <w:gridCol w:w="1125"/>
        <w:gridCol w:w="1125"/>
        <w:gridCol w:w="1035"/>
        <w:gridCol w:w="924"/>
        <w:gridCol w:w="1295"/>
      </w:tblGrid>
      <w:tr w14:paraId="4A0DB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107" w:type="dxa"/>
            <w:gridSpan w:val="13"/>
            <w:tcBorders>
              <w:top w:val="nil"/>
              <w:left w:val="nil"/>
              <w:bottom w:val="nil"/>
              <w:right w:val="nil"/>
            </w:tcBorders>
            <w:shd w:val="clear" w:color="auto" w:fill="auto"/>
            <w:noWrap/>
            <w:vAlign w:val="center"/>
          </w:tcPr>
          <w:p w14:paraId="7C17F348">
            <w:pPr>
              <w:keepNext w:val="0"/>
              <w:keepLines w:val="0"/>
              <w:widowControl/>
              <w:suppressLineNumbers w:val="0"/>
              <w:jc w:val="left"/>
              <w:textAlignment w:val="center"/>
              <w:rPr>
                <w:rFonts w:ascii="Times New Roman" w:hAnsi="Times New Roman" w:eastAsia="方正黑体_GBK" w:cs="Times New Roman"/>
                <w:i w:val="0"/>
                <w:iCs w:val="0"/>
                <w:color w:val="000000"/>
                <w:sz w:val="24"/>
                <w:szCs w:val="24"/>
                <w:u w:val="none"/>
              </w:rPr>
            </w:pPr>
            <w:r>
              <w:rPr>
                <w:rFonts w:hint="eastAsia" w:ascii="Times New Roman" w:hAnsi="Times New Roman" w:eastAsia="方正黑体_GBK" w:cs="Times New Roman"/>
                <w:i w:val="0"/>
                <w:iCs w:val="0"/>
                <w:color w:val="000000"/>
                <w:kern w:val="0"/>
                <w:sz w:val="24"/>
                <w:szCs w:val="24"/>
                <w:u w:val="none"/>
                <w:lang w:val="en-US" w:eastAsia="zh-CN" w:bidi="ar"/>
              </w:rPr>
              <w:t>附件2</w:t>
            </w:r>
          </w:p>
        </w:tc>
      </w:tr>
      <w:tr w14:paraId="587D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107" w:type="dxa"/>
            <w:gridSpan w:val="13"/>
            <w:tcBorders>
              <w:top w:val="nil"/>
              <w:left w:val="nil"/>
              <w:bottom w:val="nil"/>
              <w:right w:val="nil"/>
            </w:tcBorders>
            <w:shd w:val="clear" w:color="auto" w:fill="auto"/>
            <w:noWrap/>
            <w:vAlign w:val="center"/>
          </w:tcPr>
          <w:p w14:paraId="2C04840C">
            <w:pPr>
              <w:keepNext w:val="0"/>
              <w:keepLines w:val="0"/>
              <w:widowControl/>
              <w:suppressLineNumbers w:val="0"/>
              <w:jc w:val="center"/>
              <w:textAlignment w:val="center"/>
              <w:rPr>
                <w:rFonts w:ascii="Times New Roman" w:hAnsi="Times New Roman" w:eastAsia="方正小标宋_GBK" w:cs="Times New Roman"/>
                <w:i w:val="0"/>
                <w:iCs w:val="0"/>
                <w:color w:val="000000"/>
                <w:sz w:val="40"/>
                <w:szCs w:val="40"/>
                <w:u w:val="none"/>
              </w:rPr>
            </w:pPr>
            <w:r>
              <w:rPr>
                <w:rFonts w:hint="eastAsia" w:ascii="Times New Roman" w:hAnsi="Times New Roman" w:eastAsia="方正小标宋_GBK" w:cs="Times New Roman"/>
                <w:i w:val="0"/>
                <w:iCs w:val="0"/>
                <w:color w:val="000000"/>
                <w:kern w:val="0"/>
                <w:sz w:val="40"/>
                <w:szCs w:val="40"/>
                <w:u w:val="none"/>
                <w:lang w:val="en-US" w:eastAsia="zh-CN" w:bidi="ar"/>
              </w:rPr>
              <w:t>土地补偿费和安置补助费明细表</w:t>
            </w:r>
          </w:p>
        </w:tc>
      </w:tr>
      <w:tr w14:paraId="128B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107" w:type="dxa"/>
            <w:gridSpan w:val="13"/>
            <w:tcBorders>
              <w:top w:val="nil"/>
              <w:left w:val="nil"/>
              <w:bottom w:val="nil"/>
              <w:right w:val="nil"/>
            </w:tcBorders>
            <w:shd w:val="clear" w:color="auto" w:fill="auto"/>
            <w:noWrap/>
            <w:vAlign w:val="center"/>
          </w:tcPr>
          <w:p w14:paraId="00418DD2">
            <w:pPr>
              <w:keepNext w:val="0"/>
              <w:keepLines w:val="0"/>
              <w:widowControl/>
              <w:suppressLineNumbers w:val="0"/>
              <w:jc w:val="right"/>
              <w:textAlignment w:val="center"/>
              <w:rPr>
                <w:rFonts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单位：亩、人、万元/亩、万元/人、万元</w:t>
            </w:r>
          </w:p>
        </w:tc>
      </w:tr>
      <w:tr w14:paraId="43E1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66226">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被征土地</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所有权人</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FBA9D">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征地</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面积</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DDCA2">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区片综合地价标准</w:t>
            </w:r>
          </w:p>
        </w:tc>
        <w:tc>
          <w:tcPr>
            <w:tcW w:w="1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46E83">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土地补偿费金额</w:t>
            </w:r>
          </w:p>
        </w:tc>
        <w:tc>
          <w:tcPr>
            <w:tcW w:w="77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0D5D81">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安置补助费</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0735C">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两费合计</w:t>
            </w:r>
          </w:p>
        </w:tc>
      </w:tr>
      <w:tr w14:paraId="5571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6AF27">
            <w:pPr>
              <w:jc w:val="center"/>
              <w:rPr>
                <w:rFonts w:hint="eastAsia" w:ascii="Times New Roman" w:hAnsi="Times New Roman" w:eastAsia="方正仿宋_GBK" w:cs="Times New Roman"/>
                <w:b/>
                <w:bCs/>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B853E">
            <w:pPr>
              <w:jc w:val="center"/>
              <w:rPr>
                <w:rFonts w:hint="eastAsia" w:ascii="Times New Roman" w:hAnsi="Times New Roman" w:eastAsia="方正仿宋_GBK" w:cs="Times New Roman"/>
                <w:b/>
                <w:bCs/>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02BEE">
            <w:pPr>
              <w:jc w:val="center"/>
              <w:rPr>
                <w:rFonts w:hint="eastAsia" w:ascii="Times New Roman" w:hAnsi="Times New Roman" w:eastAsia="方正仿宋_GBK" w:cs="Times New Roman"/>
                <w:b/>
                <w:bCs/>
                <w:i w:val="0"/>
                <w:iCs w:val="0"/>
                <w:color w:val="000000"/>
                <w:sz w:val="24"/>
                <w:szCs w:val="24"/>
                <w:u w:val="none"/>
              </w:rPr>
            </w:pP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2E93">
            <w:pPr>
              <w:jc w:val="center"/>
              <w:rPr>
                <w:rFonts w:hint="eastAsia" w:ascii="Times New Roman" w:hAnsi="Times New Roman" w:eastAsia="方正仿宋_GBK" w:cs="Times New Roman"/>
                <w:b/>
                <w:bCs/>
                <w:i w:val="0"/>
                <w:iCs w:val="0"/>
                <w:color w:val="000000"/>
                <w:sz w:val="24"/>
                <w:szCs w:val="24"/>
                <w:u w:val="none"/>
              </w:rPr>
            </w:pPr>
          </w:p>
        </w:tc>
        <w:tc>
          <w:tcPr>
            <w:tcW w:w="46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E911C3">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支付后有结余</w:t>
            </w:r>
          </w:p>
        </w:tc>
        <w:tc>
          <w:tcPr>
            <w:tcW w:w="30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919C9">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支付后无结余</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35363">
            <w:pPr>
              <w:jc w:val="center"/>
              <w:rPr>
                <w:rFonts w:hint="eastAsia" w:ascii="Times New Roman" w:hAnsi="Times New Roman" w:eastAsia="方正仿宋_GBK" w:cs="Times New Roman"/>
                <w:b/>
                <w:bCs/>
                <w:i w:val="0"/>
                <w:iCs w:val="0"/>
                <w:color w:val="000000"/>
                <w:sz w:val="24"/>
                <w:szCs w:val="24"/>
                <w:u w:val="none"/>
              </w:rPr>
            </w:pPr>
          </w:p>
        </w:tc>
      </w:tr>
      <w:tr w14:paraId="20D29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2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4949F">
            <w:pPr>
              <w:jc w:val="center"/>
              <w:rPr>
                <w:rFonts w:hint="eastAsia" w:ascii="Times New Roman" w:hAnsi="Times New Roman" w:eastAsia="方正仿宋_GBK" w:cs="Times New Roman"/>
                <w:b/>
                <w:bCs/>
                <w:i w:val="0"/>
                <w:iCs w:val="0"/>
                <w:color w:val="000000"/>
                <w:sz w:val="24"/>
                <w:szCs w:val="24"/>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CEA0F">
            <w:pPr>
              <w:jc w:val="center"/>
              <w:rPr>
                <w:rFonts w:hint="eastAsia" w:ascii="Times New Roman" w:hAnsi="Times New Roman" w:eastAsia="方正仿宋_GBK" w:cs="Times New Roman"/>
                <w:b/>
                <w:bCs/>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FCBC7">
            <w:pPr>
              <w:jc w:val="center"/>
              <w:rPr>
                <w:rFonts w:hint="eastAsia" w:ascii="Times New Roman" w:hAnsi="Times New Roman" w:eastAsia="方正仿宋_GBK" w:cs="Times New Roman"/>
                <w:b/>
                <w:bCs/>
                <w:i w:val="0"/>
                <w:iCs w:val="0"/>
                <w:color w:val="000000"/>
                <w:sz w:val="24"/>
                <w:szCs w:val="24"/>
                <w:u w:val="none"/>
              </w:rPr>
            </w:pP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3493">
            <w:pPr>
              <w:jc w:val="center"/>
              <w:rPr>
                <w:rFonts w:hint="eastAsia" w:ascii="Times New Roman" w:hAnsi="Times New Roman" w:eastAsia="方正仿宋_GBK" w:cs="Times New Roman"/>
                <w:b/>
                <w:bCs/>
                <w:i w:val="0"/>
                <w:iCs w:val="0"/>
                <w:color w:val="000000"/>
                <w:sz w:val="24"/>
                <w:szCs w:val="24"/>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538A">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人员安置对象人数</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FCDB">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安置补助费发放标准</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9156">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安置补</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助费结</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余部分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D5C0">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补偿</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金额</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DC8B">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人员安置对象人数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941F">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安置补助费发放标准</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5C3C">
            <w:pPr>
              <w:keepNext w:val="0"/>
              <w:keepLines w:val="0"/>
              <w:widowControl/>
              <w:suppressLineNumbers w:val="0"/>
              <w:jc w:val="center"/>
              <w:textAlignment w:val="center"/>
              <w:rPr>
                <w:rFonts w:hint="eastAsia" w:ascii="Times New Roman" w:hAnsi="Times New Roman" w:eastAsia="方正仿宋_GBK" w:cs="Times New Roman"/>
                <w:b/>
                <w:bCs/>
                <w:i w:val="0"/>
                <w:iCs w:val="0"/>
                <w:color w:val="000000"/>
                <w:sz w:val="24"/>
                <w:szCs w:val="24"/>
                <w:u w:val="none"/>
              </w:rPr>
            </w:pPr>
            <w:r>
              <w:rPr>
                <w:rFonts w:hint="eastAsia" w:ascii="Times New Roman" w:hAnsi="Times New Roman" w:eastAsia="方正仿宋_GBK" w:cs="Times New Roman"/>
                <w:b/>
                <w:bCs/>
                <w:i w:val="0"/>
                <w:iCs w:val="0"/>
                <w:color w:val="000000"/>
                <w:kern w:val="0"/>
                <w:sz w:val="24"/>
                <w:szCs w:val="24"/>
                <w:u w:val="none"/>
                <w:lang w:val="en-US" w:eastAsia="zh-CN" w:bidi="ar"/>
              </w:rPr>
              <w:t>补偿</w:t>
            </w:r>
            <w:r>
              <w:rPr>
                <w:rFonts w:hint="eastAsia" w:ascii="Times New Roman" w:hAnsi="Times New Roman" w:eastAsia="方正仿宋_GBK" w:cs="Times New Roman"/>
                <w:b/>
                <w:bCs/>
                <w:i w:val="0"/>
                <w:iCs w:val="0"/>
                <w:color w:val="000000"/>
                <w:kern w:val="0"/>
                <w:sz w:val="24"/>
                <w:szCs w:val="24"/>
                <w:u w:val="none"/>
                <w:lang w:val="en-US" w:eastAsia="zh-CN" w:bidi="ar"/>
              </w:rPr>
              <w:br w:type="textWrapping"/>
            </w:r>
            <w:r>
              <w:rPr>
                <w:rFonts w:hint="eastAsia" w:ascii="Times New Roman" w:hAnsi="Times New Roman" w:eastAsia="方正仿宋_GBK" w:cs="Times New Roman"/>
                <w:b/>
                <w:bCs/>
                <w:i w:val="0"/>
                <w:iCs w:val="0"/>
                <w:color w:val="000000"/>
                <w:kern w:val="0"/>
                <w:sz w:val="24"/>
                <w:szCs w:val="24"/>
                <w:u w:val="none"/>
                <w:lang w:val="en-US" w:eastAsia="zh-CN" w:bidi="ar"/>
              </w:rPr>
              <w:t>金额</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6B472">
            <w:pPr>
              <w:jc w:val="center"/>
              <w:rPr>
                <w:rFonts w:hint="eastAsia" w:ascii="Times New Roman" w:hAnsi="Times New Roman" w:eastAsia="方正仿宋_GBK" w:cs="Times New Roman"/>
                <w:b/>
                <w:bCs/>
                <w:i w:val="0"/>
                <w:iCs w:val="0"/>
                <w:color w:val="000000"/>
                <w:sz w:val="24"/>
                <w:szCs w:val="24"/>
                <w:u w:val="none"/>
              </w:rPr>
            </w:pPr>
          </w:p>
        </w:tc>
      </w:tr>
      <w:tr w14:paraId="00549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53" w:type="dxa"/>
            <w:vMerge w:val="restart"/>
            <w:tcBorders>
              <w:top w:val="single" w:color="000000" w:sz="4" w:space="0"/>
              <w:left w:val="single" w:color="000000" w:sz="4" w:space="0"/>
              <w:right w:val="single" w:color="000000" w:sz="4" w:space="0"/>
            </w:tcBorders>
            <w:shd w:val="clear" w:color="auto" w:fill="auto"/>
            <w:noWrap/>
            <w:vAlign w:val="center"/>
          </w:tcPr>
          <w:p w14:paraId="5856F272">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油溪镇</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43F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rPr>
            </w:pPr>
            <w:r>
              <w:rPr>
                <w:rFonts w:hint="eastAsia" w:ascii="Times New Roman" w:hAnsi="Times New Roman" w:eastAsia="方正仿宋_GBK" w:cs="Times New Roman"/>
                <w:i w:val="0"/>
                <w:iCs w:val="0"/>
                <w:color w:val="000000"/>
                <w:kern w:val="0"/>
                <w:sz w:val="24"/>
                <w:szCs w:val="24"/>
                <w:u w:val="none"/>
                <w:lang w:val="en-US" w:eastAsia="zh-CN" w:bidi="ar"/>
              </w:rPr>
              <w:t>联合村双院子社</w:t>
            </w:r>
          </w:p>
        </w:tc>
        <w:tc>
          <w:tcPr>
            <w:tcW w:w="1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597A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38.8155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41D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5.46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5D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63.5798</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CA8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36</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6C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3.6</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26E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18.7528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34DE">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sz w:val="24"/>
                <w:szCs w:val="24"/>
                <w:u w:val="none"/>
                <w:lang w:val="en-US" w:eastAsia="zh-CN"/>
              </w:rPr>
              <w:t>148.3528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8C08">
            <w:pPr>
              <w:jc w:val="center"/>
              <w:rPr>
                <w:rFonts w:hint="eastAsia" w:ascii="Times New Roman" w:hAnsi="Times New Roman" w:eastAsia="方正仿宋_GBK" w:cs="Times New Roman"/>
                <w:b/>
                <w:bCs/>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3276">
            <w:pPr>
              <w:jc w:val="center"/>
              <w:rPr>
                <w:rFonts w:hint="eastAsia" w:ascii="Times New Roman" w:hAnsi="Times New Roman" w:eastAsia="方正仿宋_GBK" w:cs="Times New Roman"/>
                <w:b/>
                <w:bCs/>
                <w:i w:val="0"/>
                <w:iCs w:val="0"/>
                <w:color w:val="000000"/>
                <w:sz w:val="24"/>
                <w:szCs w:val="24"/>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0835">
            <w:pPr>
              <w:jc w:val="center"/>
              <w:rPr>
                <w:rFonts w:hint="eastAsia" w:ascii="Times New Roman" w:hAnsi="Times New Roman" w:eastAsia="方正仿宋_GBK" w:cs="Times New Roman"/>
                <w:b/>
                <w:bCs/>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7E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211.9326</w:t>
            </w:r>
          </w:p>
        </w:tc>
      </w:tr>
      <w:tr w14:paraId="3A3D8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953" w:type="dxa"/>
            <w:vMerge w:val="continue"/>
            <w:tcBorders>
              <w:left w:val="single" w:color="000000" w:sz="4" w:space="0"/>
              <w:right w:val="single" w:color="000000" w:sz="4" w:space="0"/>
            </w:tcBorders>
            <w:shd w:val="clear" w:color="auto" w:fill="auto"/>
            <w:noWrap/>
            <w:vAlign w:val="center"/>
          </w:tcPr>
          <w:p w14:paraId="2F40DC58">
            <w:pPr>
              <w:jc w:val="center"/>
              <w:rPr>
                <w:rFonts w:hint="eastAsia" w:ascii="Times New Roman" w:hAnsi="Times New Roman" w:eastAsia="方正仿宋_GBK" w:cs="Times New Roman"/>
                <w:i w:val="0"/>
                <w:iCs w:val="0"/>
                <w:color w:val="000000"/>
                <w:sz w:val="24"/>
                <w:szCs w:val="24"/>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EA4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rPr>
            </w:pPr>
            <w:r>
              <w:rPr>
                <w:rFonts w:hint="eastAsia" w:ascii="Times New Roman" w:hAnsi="Times New Roman" w:eastAsia="方正仿宋_GBK" w:cs="Times New Roman"/>
                <w:i w:val="0"/>
                <w:iCs w:val="0"/>
                <w:color w:val="000000"/>
                <w:kern w:val="0"/>
                <w:sz w:val="24"/>
                <w:szCs w:val="24"/>
                <w:u w:val="none"/>
                <w:lang w:val="en-US" w:eastAsia="zh-CN" w:bidi="ar"/>
              </w:rPr>
              <w:t>大坡村三块碑社</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95F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11.6145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CFC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5.46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0D9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19.0246</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8850">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9</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3F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3.6</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7369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11.9906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ECAD">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sz w:val="24"/>
                <w:szCs w:val="24"/>
                <w:u w:val="none"/>
                <w:lang w:val="en-US" w:eastAsia="zh-CN"/>
              </w:rPr>
              <w:t>44.3906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7747">
            <w:pPr>
              <w:jc w:val="center"/>
              <w:rPr>
                <w:rFonts w:hint="eastAsia" w:ascii="Times New Roman" w:hAnsi="Times New Roman" w:eastAsia="方正仿宋_GBK" w:cs="Times New Roman"/>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7E90">
            <w:pPr>
              <w:jc w:val="center"/>
              <w:rPr>
                <w:rFonts w:hint="eastAsia" w:ascii="Times New Roman" w:hAnsi="Times New Roman" w:eastAsia="方正仿宋_GBK" w:cs="Times New Roman"/>
                <w:i w:val="0"/>
                <w:iCs w:val="0"/>
                <w:color w:val="000000"/>
                <w:sz w:val="24"/>
                <w:szCs w:val="24"/>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DF6A">
            <w:pPr>
              <w:jc w:val="center"/>
              <w:rPr>
                <w:rFonts w:hint="eastAsia" w:ascii="Times New Roman" w:hAnsi="Times New Roman" w:eastAsia="方正仿宋_GBK" w:cs="Times New Roman"/>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BC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63.4152</w:t>
            </w:r>
          </w:p>
        </w:tc>
      </w:tr>
      <w:tr w14:paraId="723E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953" w:type="dxa"/>
            <w:vMerge w:val="continue"/>
            <w:tcBorders>
              <w:left w:val="single" w:color="000000" w:sz="4" w:space="0"/>
              <w:bottom w:val="single" w:color="000000" w:sz="4" w:space="0"/>
              <w:right w:val="single" w:color="000000" w:sz="4" w:space="0"/>
            </w:tcBorders>
            <w:shd w:val="clear" w:color="auto" w:fill="auto"/>
            <w:noWrap/>
            <w:vAlign w:val="center"/>
          </w:tcPr>
          <w:p w14:paraId="3459DBC4">
            <w:pPr>
              <w:jc w:val="center"/>
              <w:rPr>
                <w:rFonts w:hint="eastAsia" w:ascii="Times New Roman" w:hAnsi="Times New Roman" w:eastAsia="方正仿宋_GBK" w:cs="Times New Roman"/>
                <w:i w:val="0"/>
                <w:iCs w:val="0"/>
                <w:color w:val="000000"/>
                <w:sz w:val="24"/>
                <w:szCs w:val="24"/>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369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石羊村新屋嘴社</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635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4.0725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1EC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5.46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508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6.6708</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C10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FA2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3.6</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24B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4.7651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1773">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15.5651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764D">
            <w:pPr>
              <w:jc w:val="center"/>
              <w:rPr>
                <w:rFonts w:hint="eastAsia" w:ascii="Times New Roman" w:hAnsi="Times New Roman" w:eastAsia="方正仿宋_GBK" w:cs="Times New Roman"/>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9F5D">
            <w:pPr>
              <w:jc w:val="center"/>
              <w:rPr>
                <w:rFonts w:hint="eastAsia" w:ascii="Times New Roman" w:hAnsi="Times New Roman" w:eastAsia="方正仿宋_GBK" w:cs="Times New Roman"/>
                <w:i w:val="0"/>
                <w:iCs w:val="0"/>
                <w:color w:val="000000"/>
                <w:sz w:val="24"/>
                <w:szCs w:val="24"/>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B1F9">
            <w:pPr>
              <w:jc w:val="center"/>
              <w:rPr>
                <w:rFonts w:hint="eastAsia" w:ascii="Times New Roman" w:hAnsi="Times New Roman" w:eastAsia="方正仿宋_GBK" w:cs="Times New Roman"/>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6C1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22.2359</w:t>
            </w:r>
          </w:p>
        </w:tc>
      </w:tr>
      <w:tr w14:paraId="59076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2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51A25">
            <w:pPr>
              <w:keepNext w:val="0"/>
              <w:keepLines w:val="0"/>
              <w:widowControl/>
              <w:suppressLineNumbers w:val="0"/>
              <w:jc w:val="center"/>
              <w:textAlignment w:val="center"/>
              <w:rPr>
                <w:rFonts w:hint="eastAsia"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合    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294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54.5025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819D">
            <w:pPr>
              <w:jc w:val="center"/>
              <w:rPr>
                <w:rFonts w:hint="eastAsia" w:ascii="Times New Roman" w:hAnsi="Times New Roman" w:eastAsia="方正仿宋_GBK" w:cs="Times New Roman"/>
                <w:i w:val="0"/>
                <w:iCs w:val="0"/>
                <w:color w:val="000000"/>
                <w:sz w:val="24"/>
                <w:szCs w:val="24"/>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6FC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89.2752</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888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eastAsia="方正仿宋_GBK" w:cs="Times New Roman"/>
                <w:i w:val="0"/>
                <w:iCs w:val="0"/>
                <w:color w:val="000000"/>
                <w:sz w:val="24"/>
                <w:szCs w:val="24"/>
                <w:u w:val="none"/>
                <w:lang w:val="en-US" w:eastAsia="zh-CN"/>
              </w:rPr>
              <w:t>48</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42FE">
            <w:pPr>
              <w:jc w:val="center"/>
              <w:rPr>
                <w:rFonts w:hint="eastAsia" w:ascii="Times New Roman" w:hAnsi="Times New Roman" w:eastAsia="方正仿宋_GBK" w:cs="Times New Roman"/>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BC3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35.5085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091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208.3085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6213">
            <w:pPr>
              <w:jc w:val="center"/>
              <w:rPr>
                <w:rFonts w:hint="eastAsia" w:ascii="Times New Roman" w:hAnsi="Times New Roman" w:eastAsia="方正仿宋_GBK" w:cs="Times New Roman"/>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A866">
            <w:pPr>
              <w:jc w:val="center"/>
              <w:rPr>
                <w:rFonts w:hint="eastAsia" w:ascii="Times New Roman" w:hAnsi="Times New Roman" w:eastAsia="方正仿宋_GBK" w:cs="Times New Roman"/>
                <w:i w:val="0"/>
                <w:iCs w:val="0"/>
                <w:color w:val="000000"/>
                <w:sz w:val="24"/>
                <w:szCs w:val="24"/>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6B1C">
            <w:pPr>
              <w:jc w:val="center"/>
              <w:rPr>
                <w:rFonts w:hint="eastAsia" w:ascii="Times New Roman" w:hAnsi="Times New Roman" w:eastAsia="方正仿宋_GBK" w:cs="Times New Roman"/>
                <w:i w:val="0"/>
                <w:iCs w:val="0"/>
                <w:color w:val="000000"/>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3B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eastAsia="zh-CN"/>
              </w:rPr>
            </w:pPr>
            <w:r>
              <w:rPr>
                <w:rFonts w:hint="eastAsia" w:ascii="Times New Roman" w:hAnsi="Times New Roman" w:eastAsia="方正仿宋_GBK" w:cs="Times New Roman"/>
                <w:i w:val="0"/>
                <w:iCs w:val="0"/>
                <w:color w:val="000000"/>
                <w:sz w:val="24"/>
                <w:szCs w:val="24"/>
                <w:u w:val="none"/>
                <w:lang w:val="en-US" w:eastAsia="zh-CN"/>
              </w:rPr>
              <w:t>297.5837</w:t>
            </w:r>
          </w:p>
        </w:tc>
      </w:tr>
    </w:tbl>
    <w:p w14:paraId="40013231">
      <w:pPr>
        <w:pStyle w:val="2"/>
        <w:ind w:firstLine="280"/>
        <w:rPr>
          <w:rFonts w:ascii="Times New Roman" w:hAnsi="Times New Roman" w:cs="Times New Roman"/>
          <w:b w:val="0"/>
          <w:bCs w:val="0"/>
          <w:lang w:eastAsia="zh-CN"/>
        </w:rPr>
      </w:pPr>
    </w:p>
    <w:p w14:paraId="5EAFE791">
      <w:pPr>
        <w:pStyle w:val="2"/>
        <w:ind w:firstLine="280"/>
        <w:rPr>
          <w:rFonts w:ascii="Times New Roman" w:hAnsi="Times New Roman" w:cs="Times New Roman"/>
          <w:lang w:eastAsia="zh-CN"/>
        </w:rPr>
      </w:pPr>
    </w:p>
    <w:sectPr>
      <w:pgSz w:w="16838" w:h="11900" w:orient="landscape"/>
      <w:pgMar w:top="1134" w:right="1134" w:bottom="1134" w:left="1134"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E022A">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FC05CB">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61FC05CB">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A3F2">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5876B204">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5876B204">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210"/>
  <w:drawingGridVerticalSpacing w:val="-794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21D70DF"/>
    <w:rsid w:val="02CB1CF7"/>
    <w:rsid w:val="03B75018"/>
    <w:rsid w:val="057563DB"/>
    <w:rsid w:val="06897EFF"/>
    <w:rsid w:val="06E42DAF"/>
    <w:rsid w:val="07D76C51"/>
    <w:rsid w:val="07D773FC"/>
    <w:rsid w:val="07FC0BA5"/>
    <w:rsid w:val="08424708"/>
    <w:rsid w:val="084762C4"/>
    <w:rsid w:val="08C3745F"/>
    <w:rsid w:val="097E6B2D"/>
    <w:rsid w:val="09ED4C49"/>
    <w:rsid w:val="0B416C81"/>
    <w:rsid w:val="0CC467C9"/>
    <w:rsid w:val="0F3831F5"/>
    <w:rsid w:val="0F9242C9"/>
    <w:rsid w:val="1026225E"/>
    <w:rsid w:val="103A670E"/>
    <w:rsid w:val="115F077F"/>
    <w:rsid w:val="141D3579"/>
    <w:rsid w:val="158352AF"/>
    <w:rsid w:val="1644531A"/>
    <w:rsid w:val="17314C53"/>
    <w:rsid w:val="18D86AC4"/>
    <w:rsid w:val="197902A7"/>
    <w:rsid w:val="1A1D7EB0"/>
    <w:rsid w:val="1A902975"/>
    <w:rsid w:val="1C5F6E82"/>
    <w:rsid w:val="1E2D4A6A"/>
    <w:rsid w:val="1F713AC0"/>
    <w:rsid w:val="1F7A2F69"/>
    <w:rsid w:val="20B708CF"/>
    <w:rsid w:val="211A4822"/>
    <w:rsid w:val="223B5A35"/>
    <w:rsid w:val="22E06385"/>
    <w:rsid w:val="232E3073"/>
    <w:rsid w:val="246F59BA"/>
    <w:rsid w:val="26767AFC"/>
    <w:rsid w:val="273D7F2E"/>
    <w:rsid w:val="27707C5E"/>
    <w:rsid w:val="27E20BF9"/>
    <w:rsid w:val="28F96F5B"/>
    <w:rsid w:val="29543123"/>
    <w:rsid w:val="2A434BED"/>
    <w:rsid w:val="2AFB1731"/>
    <w:rsid w:val="2E2626ED"/>
    <w:rsid w:val="2EC8340B"/>
    <w:rsid w:val="301E4E37"/>
    <w:rsid w:val="30A478F5"/>
    <w:rsid w:val="31F44686"/>
    <w:rsid w:val="32786CD9"/>
    <w:rsid w:val="32A7158A"/>
    <w:rsid w:val="32C47C16"/>
    <w:rsid w:val="348A4CBF"/>
    <w:rsid w:val="35845656"/>
    <w:rsid w:val="361433DA"/>
    <w:rsid w:val="368762D1"/>
    <w:rsid w:val="38E5105E"/>
    <w:rsid w:val="39232E07"/>
    <w:rsid w:val="3A0117CD"/>
    <w:rsid w:val="3AC84793"/>
    <w:rsid w:val="3AFD443D"/>
    <w:rsid w:val="3C4147FD"/>
    <w:rsid w:val="3CD623CC"/>
    <w:rsid w:val="3CFE5B77"/>
    <w:rsid w:val="3D275604"/>
    <w:rsid w:val="3E3750AD"/>
    <w:rsid w:val="3F0C3E74"/>
    <w:rsid w:val="3F87704C"/>
    <w:rsid w:val="405577DE"/>
    <w:rsid w:val="40B37EF1"/>
    <w:rsid w:val="421B1721"/>
    <w:rsid w:val="42CB7BE2"/>
    <w:rsid w:val="43882D11"/>
    <w:rsid w:val="43AF7DA3"/>
    <w:rsid w:val="44F468B0"/>
    <w:rsid w:val="46D057AD"/>
    <w:rsid w:val="4AB25FA1"/>
    <w:rsid w:val="4BE64593"/>
    <w:rsid w:val="4C6B61E2"/>
    <w:rsid w:val="4CBD64EE"/>
    <w:rsid w:val="506444A8"/>
    <w:rsid w:val="50652DF3"/>
    <w:rsid w:val="52B6743A"/>
    <w:rsid w:val="54B70F2B"/>
    <w:rsid w:val="55EE11F9"/>
    <w:rsid w:val="56E5369E"/>
    <w:rsid w:val="581347C9"/>
    <w:rsid w:val="5878114F"/>
    <w:rsid w:val="59A71CEC"/>
    <w:rsid w:val="5A64353F"/>
    <w:rsid w:val="5AF6767A"/>
    <w:rsid w:val="5B2D4472"/>
    <w:rsid w:val="60DF5494"/>
    <w:rsid w:val="626B4508"/>
    <w:rsid w:val="657114C3"/>
    <w:rsid w:val="658E7007"/>
    <w:rsid w:val="666D3126"/>
    <w:rsid w:val="66F177E9"/>
    <w:rsid w:val="67DF7A20"/>
    <w:rsid w:val="69C1652D"/>
    <w:rsid w:val="69CA2441"/>
    <w:rsid w:val="6A2E6166"/>
    <w:rsid w:val="6B3727A3"/>
    <w:rsid w:val="6B4F3F91"/>
    <w:rsid w:val="6B9955F5"/>
    <w:rsid w:val="6C904861"/>
    <w:rsid w:val="6E13018C"/>
    <w:rsid w:val="6F6124E5"/>
    <w:rsid w:val="709B605D"/>
    <w:rsid w:val="70EB6CB7"/>
    <w:rsid w:val="71346AA6"/>
    <w:rsid w:val="714D4ACF"/>
    <w:rsid w:val="7382242E"/>
    <w:rsid w:val="74945351"/>
    <w:rsid w:val="756772E5"/>
    <w:rsid w:val="77164CF2"/>
    <w:rsid w:val="7880182E"/>
    <w:rsid w:val="78B10039"/>
    <w:rsid w:val="794F63E4"/>
    <w:rsid w:val="79954417"/>
    <w:rsid w:val="7A201A47"/>
    <w:rsid w:val="7B2A7B4E"/>
    <w:rsid w:val="7B772E35"/>
    <w:rsid w:val="7BA4138D"/>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3853</Words>
  <Characters>4326</Characters>
  <Lines>39</Lines>
  <Paragraphs>11</Paragraphs>
  <TotalTime>120</TotalTime>
  <ScaleCrop>false</ScaleCrop>
  <LinksUpToDate>false</LinksUpToDate>
  <CharactersWithSpaces>4376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cp:lastModifiedBy>
  <cp:lastPrinted>2025-07-28T06:16:00Z</cp:lastPrinted>
  <dcterms:modified xsi:type="dcterms:W3CDTF">2025-08-01T09:02:08Z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4E316D9449C54A4E80427709F24B3631_13</vt:lpwstr>
  </property>
  <property fmtid="{D5CDD505-2E9C-101B-9397-08002B2CF9AE}" pid="4" name="KSOTemplateDocerSaveRecord">
    <vt:lpwstr>eyJoZGlkIjoiOGViZjQ0YzlmOTM4ZGExOTMxY2Y2ZjU5OTE5NzBiMzkiLCJ1c2VySWQiOiI3NTczNzMzMzEifQ==</vt:lpwstr>
  </property>
</Properties>
</file>